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korekti aizpildīt anotācijas 2.sadaļu (ja attiecināms arī 7.sadaļu) un attiecībā uz visām sabiedrības mērķgrupām, uz kurām attiecināms projekta tiesiskais regulējums tiešā un netiešā veidā (t.i., kuru tiesības, pienākumus, finanses vai iespējas projekts ietekmē vai varētu ietekmēt) norādīt (ietekmes aprakstā)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administratīvais slogs nemainās, norāda, ka sabiedrības grupām un institūcijām projekta tiesiskais regulējums nemaina tiesības un pienākumus, kā arī veicamās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administratīvais slogs samazinās vai palielinās, norāda, kādām sabiedrības grupām un institūcijām administratīvais slogs tiek attiecīgi samazināts vai palielināts, konkretizējot ieguvumus vai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sadaļā atspoguļo ietekmi uz sabiedrības mērķgrupām, nevis norāda projekta mērķi, kas jau minēts 1.2.punktā.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sasaistīt projektu ar šeit minētajiem caur TAP portāla sadaļu "Saistītie 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10.02.2026. 12.41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10.02.2026. 12.41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Atzinumi_24-TA-164.docx</dc:title>
</cp:coreProperties>
</file>

<file path=docProps/custom.xml><?xml version="1.0" encoding="utf-8"?>
<Properties xmlns="http://schemas.openxmlformats.org/officeDocument/2006/custom-properties" xmlns:vt="http://schemas.openxmlformats.org/officeDocument/2006/docPropsVTypes"/>
</file>