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otrā panta pirmajā daļā</w:t>
            </w:r>
            <w:r w:rsidR="00000000" w:rsidRPr="00000000" w:rsidDel="00000000">
              <w:rPr>
                <w:rtl w:val="0"/>
              </w:rPr>
              <w:t xml:space="preserve"> minētajām mājsaimniecībām saprot mājsaimniecības, kuru kopējie izdevumi par mājokli uz vienu mājsaimniecības locekli pārsniedz 30% no ienākumiem uz vienu mājsaimniecības locekli.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(turpmāk - Birojs) aicina šo apakšpunktu izņemt no likumprojekta un pārvietot to uz likumprojekta anotāciju, jo nedz energoresursu izmaksu kompensācijas informācijas sistēma, nedz tirgotāji neveiks aprēķinus, vai attiecīgās mājsaimniecības izdevumi par mājokli sasniedz 30% no ienākumiem uz vienu mājsaimniecības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Grabovskis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pakalpojumu sniedzējiem un pašvaldībām informāciju par mājsaimniecības lietotājiem, kuriem piemērojams Likuma </w:t>
            </w:r>
            <w:r w:rsidR="00000000" w:rsidRPr="00000000" w:rsidDel="00000000">
              <w:rPr>
                <w:rtl w:val="0"/>
              </w:rPr>
              <w:t xml:space="preserve">​ </w:t>
            </w:r>
            <w:r w:rsidR="00000000" w:rsidRPr="00000000" w:rsidDel="00000000">
              <w:rPr>
                <w:rtl w:val="0"/>
              </w:rPr>
              <w:t xml:space="preserve">otrā panta otrajā daļā</w:t>
            </w:r>
            <w:r w:rsidR="00000000" w:rsidRPr="00000000" w:rsidDel="00000000">
              <w:rPr>
                <w:rtl w:val="0"/>
              </w:rPr>
              <w:t xml:space="preserve">  norādītais atbalsts.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lai nerastos neskaidrības, likumprojekta anotācijā būtu norādāms, ka informāciju pašvaldībām ir paredzēts sniegt EIKIS izstrādes otrajā kārtā, papildus norādot arī aptuveno otrās kārtas izstrādes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Grabovskis (BVKB)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informē, ka esošo likumprojekta panta redakciju nebūtu vēlams rediģēt, jo šobrīd esošais uzskaitījums ir pietiekami detalizēts un rada vismazāko slogu datu pārraidē un apmaiņā visām iesaistītajām pusēm.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Grabovskis (BVKB)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01.08.2023.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01.08.2023.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