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veic iesniegtās informācijas pārbaudi, pārliecinoties tai skaitā par gaisa telpas lietotāju viedokļa uzklausīšanu un drošuma apsvērumu robežās to ņemšanu vērā, un  līdz katra gada 1. septembrim apkopo no subjektiem konsultāciju rezultātā precizētās izmaksas un iesniedz tās Satiksmes ministrijā, kas izstrādā  Ministru kabineta noteikumu Nr.28 grozījumu projektu, to pielikumā iekļaujot  informāciju par vienības maksu lielumu, un līdz katra gada 1. novembrim iesniedz to Ministru kabinetā lēmuma pieņemšanai par Ministru kabineta noteikumu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svītrojot regulējumu par to, ka ministrija izstrādā un iesniedz Ministru kabineta sēdē un attiecīgi Ministru kabinets izdod noteikumus (proti, grozījumus Ministru kabineta 2012. gada 3. janvāra noteikumos Nr. 28 "Valsts akciju sabiedrības "Latvijas gaisa satiksme" sniegto aeronavigācijas pakalpojumu maksas noteikšanas un iekasēšanas kārtība"). Vēršam uzmanību, ka Ministru kabineta noteikumu izdošanas gadījumus un kārtību regulē Ministru kabineta iekārtas likuma 31. pants un Ministru kabineta kārtības rullis. Tā vietā, ja nepieciešams, aicinām norādīt, ka vienības maksas likme tiek pārskatīta katru gadu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 2.3. apakšpunktu</w:t>
            </w:r>
            <w:r w:rsidR="00000000" w:rsidRPr="00000000" w:rsidDel="00000000">
              <w:rPr>
                <w:rtl w:val="0"/>
              </w:rPr>
              <w:t xml:space="preserve"> un kuras apmērs ir noteikts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vienības maksas likmes apmērs ir noteikts nevis "saskaņā ar šo noteikumu pielikumu", bet gan "šo noteikumu pielikumā", ņemot vērā, ka noteikumu pielikumā nav noteikta kārtība, kādā likmi nosaka, bet gan pati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Komisijas 2019. gada 11. februāra Īstenošanas regulas Nr. 2019/317, ar ko nosaka darbības uzlabošanas sistēmu un tarifikācijas sistēmu Eiropas vienotajā gaisa telpā un atceļ Īstenošanas regulas (ES) Nr. 390/2013 un (ES) Nr. 391/2013 (turpmāk – Regula Nr. 2019/317) VII pielikumam, pievienojot pamatojumu kopā ar dokumentiem, kas nepieciešami, lai pārbaudītu aprēķināto likmju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projekta 3. punktā konkretizēt, kas ir normā minētie subjekti (proti, subjekti, kuru izmaksas ir iekļautas vienības maksā) un attiecīgi uz kuriem ir attiecināmi normā paredzētie pienākumi. Vēršam uzmanību, ka tiesību normas adresātam ir jāspēj saprast, ka viņš ir attiecīgās tiesību normas adresāts, kā arī atgādinām, ka anotācija ir tiesību palīgavots. Attiecīgi aicinām izvērtēt, vai tiesību norma ir formulēta pietiekami skaidri, tostarp izvērtējot un anotācijā skaidrojot, vai un kā attiecīgais subjekts zina, ka viņa izmaksas ir iekļautas vienības 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22.05.2025.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