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vai specializācijas jomu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izziņas 14. 15. un 119.punktā Izglītības un zinātnes ministrija ir minējusi, ka ka sociālo un humanitāro zinātņu jomas pārstāvji var pretendēt uz pasākuma finansējumu ar starpdisciplināriem projektiem ar apstiprinātu RIS3 jomu un ka radošo industriju un  ka dizaina attīstības jomas pārstāvji var pretendēt uz pasākuma finansējumu ar starpdisciplināriem projektiem, kas atbilst vienai no definētajām RIS3 jomām. Savukārt pašā noteikumu projektā un anotācijā nav minēta starpdisciplinaritāte un tas, ka būs iespēja pretendēt uz pasākuma finansējumu ar starpdisciplināriem projektiem, kas atbilst vienai no definētajām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4.punktu, norādot, ka ka pasākuma ietvaros tiek atbalstīti pētniecības pieteikumi, starptautiskās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4.Pasākuma ietvaros tiek atbalstīti pētniecības pieteikumi, starptautiskās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 (sadaļā “Risinājuma apraksts”) ar noteikumu 4.punktā minēto, ka 1.1.1.9. pasākuma ietvaros atbalsts tiks sniegts pētniecības pieteikumiem, kas sniedz ieguldījumu Viedās specializācijas stratēģijas mērķu sasniegšanā vai specializācijas jomu attīstībā, tai skaitā starpdisciplināriem pētniecības pieteikumiem, kas atbilst vismaz vienai no definētajām Latvijas viedās specializācijas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kas šā pasākuma ietvaros ir starpdisciplinārs pētniecības pieteikums. Proti, ka starpdisciplinārs pētniecības pieteikums var ietvert vairākas no definētajām Latvijas viedās specializācijas jomām vai vismaz vienu no definētajām Latvijas viedās specializācijas jomām un vismaz vienu jomu vai nozari, kas nav noteikta kā Latvijas viedās specializācijas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ietvaros atbalsts tiks sniegts pētniecības pieteikumiem, kas sniedz ieguldījumu Viedās specializācijas stratēģijas mērķu sasniegšanā vai specializācijas jomu attīstībā, tai skaitā starpdisciplināriem pētniecības pieteikumiem, kas atbilst vismaz vienai no definētajām Latvijas viedās specializācijas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Starpdisciplinārs pētniecības pieteikums var ietvert vairākas no definētajām Latvijas viedās specializācijas jomām vai vismaz vienu no definētajām Latvijas viedās specializācijas jomām un vismaz vienu jomu vai nozari, kas nav noteikta kā Latvijas viedās specializācijas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Rūsiņa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15.12.2023. 14.33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15.12.2023. 14.33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Atzinumi_23-TA-1445.docx</dc:title>
</cp:coreProperties>
</file>

<file path=docProps/custom.xml><?xml version="1.0" encoding="utf-8"?>
<Properties xmlns="http://schemas.openxmlformats.org/officeDocument/2006/custom-properties" xmlns:vt="http://schemas.openxmlformats.org/officeDocument/2006/docPropsVTypes"/>
</file>