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Jaunuzņēmumu komercdarbības vides pilnveidošanai ik gadu tiek pilnvaroti šādi atbalstāmie pasākumi un to sasniedzamie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virzīto Noteikumu projektu “Jaunuzņēmumu komercdarbības vides pilnveidošanas atbalstāmo pasākumu īstenošanas kārtība” un secina, ka noteikumu projekta 4. punktā ir fiksēts konkrēts atbalstāmo pasākumu saraksts. Ja nākotnē parādīsies jaunas, ekosistēmai būtiskas aktivitātes, kas neatbilst tieši šim sarakstam, tās nebūs iespējams finansēt. Tas ierobežo inovācijas, jo jaunuzņēmumu vide attīstās ļoti strauji un mainās atbilstoši globālajām tendencēm. LDDK uzskata, ka Noteikumu projektā būtu jāparedz atvērta kategorija – piemēram, “citi jaunuzņēmumu ekosistēmu veicinoši pasākumi, kurus apstiprina LIAA/EM”. Šāda pieeja nodrošinātu elastību un iespēju atbalstīt jaunas iniciatīvas, kas rodas tirgus un tehnoloģiju attīstības rezultātā. Pretējā gadījumā pastāv risks, ka inovācijas tiks “iesaldētas” esošajā rāmī un atbalsta sistēma kļūs statiska.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Atbalsta intensitāte ir 100% no attiecināmajām izmaksām, un kopējā piešķirtā atbalsta summa vienam iesnieguma iesniedzējam, neatkarīgi no iesniegto iesniegumu vai tajos iekļauto atbalstāmo pasākumu skaita, nepārsniedz 100 000 euro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vienam iesniedzējam piešķiramais finansējums nepārsniedz 100 000 EUR gadā. Tomēr nav skaidri noteikts, kā kopējais finansējuma apjoms tiks sadalīts starp dažādiem pasākumiem un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atklātus un caurspīdīgus kritērijus finansējuma sadalei – piemēram, vai prioritāte būs ekosistēmas ietekmei, pasākumu kvalitātei vai reģionālajam līdzsvaram. Pretējā gadījumā pastāv risks, ka nesamērīgi liels finansējuma apjoms nonāks pie dažiem lieliem spēlētājiem, ierobežojot konkurenci un daudzveidību jaunuzņēmumu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daļa aktivitāšu tiks uzskatīta par </w:t>
            </w:r>
            <w:r w:rsidR="00000000" w:rsidRPr="00000000" w:rsidDel="00000000">
              <w:rPr>
                <w:i w:val="1"/>
                <w:rtl w:val="0"/>
              </w:rPr>
              <w:t xml:space="preserve">de minimis</w:t>
            </w:r>
            <w:r w:rsidR="00000000" w:rsidRPr="00000000" w:rsidDel="00000000">
              <w:rPr>
                <w:rtl w:val="0"/>
              </w:rPr>
              <w:t xml:space="preserve"> atbalstu. Tomēr, ja organizācijām būs jāveic šī atbalsta sadalīšana, tas radīs papildu administratīvo slogu. Turklāt nav skaidrs, kā tiks noteikti gala labuma guvēji un vai piešķirtā atbalsta apjomi būs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1)kādā kārtībā un pēc kādiem kritērijiem tiks izvēlēti gala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apmērā atbalsts 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tiks nodrošināts, ka atbalsts nav tikai formāls, bet sniedz reālu pievienoto vērtību jaunuzņēmumiem.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pasākumi būs “publiski un brīvi pieejami ikvienam jaunuzņēmumam”, taču Noteikumos šis princips nav skaidri nostiprināts. Pastāv risks, ka organizācijas var noteikt dalības maksas vai citādi ierobežot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tieši paredzēt, ka visi atbalstāmie pasākumi ir bez maksas pieejami jaunuzņēmumiem, ja vien normatīvajos aktos nav īpaši noteikts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Jaunuzņēmumu pārstāvošā organizācija atbalstam par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punktā minētajām izmaksām piesakās atbilstoši iesniegumu atlases noteiktajām prasībām. Elektroniski izveidotu iesniegumu strukturētā formā iesniedz www.business.gov.lv., pievienojot šādu informāciju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valsts platformu biznesa attīstībai – turpmāk tekstā lietojot saīsinājumu business.gov.lv, kā tas jau norādīts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pārlasīt Anotāciju, veikt nepieciešamos redakcionālos un gramatiskos precizējumus, kā arī nodrošināt konsekventu saīsinājumu lietojumu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21.08.2025. 23.18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21.08.2025. 23.18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