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23-TA-1071: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projekta 8.3. punktā minēto, vēršam uzmanību, ka, ja ir paredzēta iespēja finansējuma saņēmējiem izmaksāt avansu, informatīvajā ziņojumā ir jānorāda skaidri tā saņemšanas nosacījumi (kā piemēram, avansa apjoms un tā pieprasīšanas un izmaksāšanas kārtība). Vienlaikus vēršam uzmanību, ka avansa maksājumu var plānot ne lielāku kā 30% no projektā paredzētā publiskā finansējuma apmēra, nosakot avansa maksājuma saņemšanas nosacījumus, t.i., sasaistot ar projekta sasniedzamajiem mērķiem un atskaites punktiem, kā arī avansa un starpposma maksājumu kopsumma nevar pārsniegt 90% no kopējā projekta finansējuma. Ņemot vērā iepriekš minēto, lūdzam atbilstoši papildināt informatīvā ziņojuma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informatīvā ziņojuma projekta 6.2. un 6.4. punktos ietvertās atbalstāmās darbības un izmaksu pozīcijas, kuras saistītas ar būvniecību ar Eiropas Savienības Atveseļošanas un noturības mehānisma plāna 2.pielikumu, un tajā ietverto izmaksu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norādīt ziņojuma projekta 5.8.3. apakšpunktā atsauci, ņemot vērā, ka ziņojuma projektā nav tāda 5.6.2.6.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Informatīvā ziņojuma 5.8. punktam atsauci uz Informatīvā ziņojuma punktu, kurā ir minētas darbības, kurām piešķir komercdarbības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Akmentiņa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5.8. punktu, ka Veselības ministrija izvērtē vai uzņēmums atbilsts komercdarbības atbalsta visām piešķiršanas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Akmentiņa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5.8.3. punktā ir noteikts,  ka </w:t>
            </w:r>
            <w:r w:rsidR="00000000" w:rsidRPr="00000000" w:rsidDel="00000000">
              <w:rPr>
                <w:i w:val="1"/>
                <w:rtl w:val="0"/>
              </w:rPr>
              <w:t xml:space="preserve">"Finansējuma saņēmējs projekta  iesniegumam pievieno vispārējas tautsaimnieciskas nozīmes pakalpojuma sniegšanas pilnvarojuma uzlicēja apliecinājumu, ka tas kontrolēs un pārskatīs šī ziņojuma 5.6.2.6. apakšpunktā minētos deleģēšanas līgumā paredzētos atlīdzības (kompensācijas) maksājumus, kā arī novērsīs un atgūs deleģēšanas līgumā paredzēto atlīdzības (kompensācijas) maksājumu pārmaksu, ievērojot Eiropas Komisijas lēmumā Nr.  2012/21/ES noteikto pārbaužu regularitāti, bet ne retāk kā reizi trijos gados un pilnvarojuma akta darbības perioda beigās". </w:t>
            </w:r>
            <w:r w:rsidR="00000000" w:rsidRPr="00000000" w:rsidDel="00000000">
              <w:rPr>
                <w:rtl w:val="0"/>
              </w:rPr>
              <w:t xml:space="preserve">Vēršam uzmanību, ka minētais punkts, ir korekts, ja finansējuma saņēmēji šeit ir ārstniecības iestādes. Gadījumā, ja šis projekts ir divpakāpju, kur Veselības ministrija piešķir tālāk finansējumu ārstniecības iestādēm, tad šis punkts ir precizējamas atbilstoši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Akmentiņa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8.3.punktā lūdzu norādīt, kuriem finansējuma saņēmējiem PVN ir attiecināms finansēšanai no valsts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7.29.punktā lūdzu izvērtēt, vai nav nepieciešams precizēt atsauci uz 2.5.punktu (2.4.punkta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7.27. un 7.28.punktos lūdzam precizēt atsauci uz 7.25.1.punktu (7.24.1.punkta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7.15.punktā ir minēts: "Saskaņā ar regulas Nr. 2021/241 17. panta 2. punkta prasībām projekta izmaksas ir attiecināmas, ja tās atbilst šī ziņojuma 6.1. un 6.2.apakšpunktā noteiktajām atbalstāmo darbību un 6.23. un 6.4. apakšpunktā noteiktajām attiecināmo izmaksu pozīcijām un ir radušās sākot ar 2023. gada 1.novembri. Uz iekšējā normatīvā akta par projekta īstenošanu apstiprināšanas brīdi vai līguma slēgšanas brīdi nedrīkst tikt atbalstītas jau pabeigtas darbības, ar pabeigtām darbībām saprotot reformas vai investīcijas 3.1.1. un 3.3.1. apakšpunktā noteikto rādītāju sasniegšanu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ziņojuma 3.10.punktā norādīts, ka ziņojuma 3.1.1.3.punktā minētais rādītājs jau ir sasniegts. Lūdzu precizēt attiecināmības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5.6.punktā ir norādīts, ka atbalsta pasākumi RSU investīcijas ietvaros ir vietēja rakstura. Ņemot vērā, ka RSU piesaista ārvalstu studentus, lūdzam izvērtēt, vai nav nepieciešams precizēt ziņojuma 5.6.punktā minēto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2.5.punktā noteiktais, ka finansējuma saņēmēji ir ārstniecības iestādes un augstākās izglītības iestādes, kas īsteno veselības aprūpes izglītības programmas, ir pretrunā AF plānā noteiktajam, atbilstoši kuram kā finansējuma saņēmējs un investīciju īstenotājs plānota Veselības ministrija, kas sadarbībā ar nozares iestādēm un organizācijām (augstākās izglītības iestādēm, profesionālajām nozares organizācijām), nodrošinās izvērtējuma veikšanu (izmantojot publisko iepirkumu) un simulāciju pieejas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un papildināt informatīvā ziņojuma 2.5.punktā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7.29. punktu, norādot brīdi, no kura sākas 10 gadu tecējums.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7.24. punktā aizstāt vārdus "koordinējošo institūciju" ar vārdiem "koordinatoru", lai nodrošinātu atbilstību Ministru kabineta 2021. gada 10. septembra noteikumu Nr. 621 "Eiropas Savienības Atveseļošanas un noturības mehānisma plāna īstenošanas un uzraudzības kārtība" 6. punktam.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informatīvā ziņojuma projektā lietotos terminus. Aicinām visā informatīvā ziņojuma projektā lietot terminus "iekšējais normatīvais akts par projekta īstenošanu" un "līgums par projekta īstenošanu" , lai būtu izsekojams un skaidri saprotams, uz kādu līgumu un iekšējiem normatīvajiem aktiem atsaucas.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informatīvā ziņojuma projekta izriet, ka finansējuma saņēmējs var būt ne tikai 2.4. punktā noteiktais un Rīgas Stradiņa universitāte (turpmāk - RSU), bet arī citi, lūdzam precizēt informatīvā ziņojuma projekta 7.13. punktu, lai būtu skaidri saprotams, vai 7.13. punktā noteiktas pienākums attiecas tikai uz 2.4. punktā noteikto finansējuma saņēmēju un RSU.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projekta 2.5. punktā ir definēti finansējuma saņēmēji. Ņemot vērā minēto, lūdzam precizēt informatīvā ziņojuma projekta 7.10. punktu, lai būtu skaidri saprotams, ka līgumus par projekta īstenošanu ar informatīvā ziņojuma projekta 2.5. punktā noteiktajiem finansējuma saņēmējiem slēdz Centrālā finanšu un līgumu aģentūra. Papildus lūdzam papildināt ar kārtību, kādā Centrālā finanšu un līgumu aģentūra uzzinās par potenciālajiem finansējuma saņēmējiem, lai ar tiem slēgtu līgumu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7.7. punktu, nosakot, ka "Ja finansējuma saņēmējs neveic projekta precizējumus vadības informācijas sistēmā vai elektroniskā dokumenta veidā atbilstoši nozares ministrijas vērtējumam, vai šī ziņojuma 7.6. punktā noteiktajā termiņā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informatīvā ziņojuma projekta 7.5.5. punktā skaitļus un vārdus "1.3 un 1.7 daļu " ar skaitļiem un vārdiem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visiem finansējuma saņēmējiem, lūdzam papildināt informatīvā ziņojuma projekta 7.4. punktu, ka arī informatīvā ziņojuma projekta 2.4. punktā minēto finansējuma saņēmēju vērtē atbilstoši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("Izslēgšanas kritēriji un lēmumi par izslēgšanu") noteiktajiem izslēgšanas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7.4. punktu, norādot iestādi, kura veic vērtēšanu. Attiecīgu precizējumu lūdzam norādīt arī pie informatīvā ziņojuma projekta 7.5.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 loma projektā ir RSU atbilstoši informatīvā ziņojuma projekta 5.3. punktam. Vai RSU ir finansējuma saņēmējs informatīvā ziņojuma projekta 2.5. punkta ietvarā? No informatīvā ziņojuma projekta 2.5. punkta izriet, ka ir paredzēti vairāki finansējuma saņēmēji, ne tikai RSU, attiecīgi lūdzam skaidrot, kādēļ informatīvā ziņojuma projektā ir norādīts tikai par RSU.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izsekojamību, lūdzam izvērtēt un nepieciešamības gadījumā izdalīt informatīvā ziņojuma projekta 7.2. punkta 2. teikumu kā jaunu punktu, pārceļot to pirms 7.2. punkta, ņemot vērā, ka informatīvā ziņojuma projekta 7.2. punkta 1. teikumā ir noteikts pienākums finansējuma saņēmējam, bet 2. teikums attiecas uz nozares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Veselības ministriju turpmāk informatīvā ziņojuma projektā uzrunāt kā finansējuma saņēmēju. Vēršam uzmanību, ka atbilstoši informatīvā ziņojuma projekta 2.5. punktam ir arī citi finansējuma saņēmēji, attiecīgi turpmāk informatīvā ziņojuma projektā, lietojot terminu "finansējuma saņēmējs", būtu jāsaprot tikai finansējuma saņēmējs - Veselības ministrija. Attiecīgi tad ir nepieciešams precizēt informatīvā ziņojuma projektu, lai ir skaidri saprotams, kas attiecas uz finansējuma saņēmēju - Veselības ministriju, un kas attiecas uz citiem finansējuma saņēmējiem, bet kas - uz visiem finansējuma saņēmējiem.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Eiropas Savienības tiesu judikatūrai atbilstošu pienākumu atgūt nelikumīgo komercdarbības atbalstu, aicinām stratēģijas projekta 5.8.4.punktu izteikt,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komercdarbības atbalsta piešķiršanas prasības vispārējās tautsaimnieciskas nozīmes pakalpojuma sniegšanai, finansējuma saņēmējam ir pienākums atmaksāt nozares ministrijai projekta ietvaros saņemto nelikumīgo komercdarbības atbalstu kopā ar procentiem no līdzekļiem, kas ir brīvi no komercdarbības atbalsta, saskaņā ar Komercdarbības atbalsta kontroles likuma IV vai V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23-TA-1071</w:t>
    </w:r>
    <w:r>
      <w:br/>
    </w:r>
    <w:r w:rsidR="00000000" w:rsidRPr="00000000" w:rsidDel="00000000">
      <w:rPr>
        <w:rtl w:val="0"/>
      </w:rPr>
      <w:t xml:space="preserve">Izdrukāts 16.11.2023. 18.14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23-TA-1071</w:t>
    </w:r>
    <w:r>
      <w:br/>
    </w:r>
    <w:r w:rsidR="00000000" w:rsidRPr="00000000" w:rsidDel="00000000">
      <w:rPr>
        <w:rtl w:val="0"/>
      </w:rPr>
      <w:t xml:space="preserve">Izdrukāts 16.11.2023. 18.14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Atzinumi_23-TA-1071.docx</dc:title>
</cp:coreProperties>
</file>

<file path=docProps/custom.xml><?xml version="1.0" encoding="utf-8"?>
<Properties xmlns="http://schemas.openxmlformats.org/officeDocument/2006/custom-properties" xmlns:vt="http://schemas.openxmlformats.org/officeDocument/2006/docPropsVTypes"/>
</file>