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25-TA-2154: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4. februāra noteikumos Nr. 82 "Eiropas Savienības kohēzijas politikas programmas 2021.–2027. gadam 1.1.1. specifiskā atbalsta mērķa "Pētniecības un inovāciju kapacitātes stiprināšana un progresīvu tehnoloģiju ieviešana kopējā P&amp;A sistēmā" 1.1.1.7. pasākuma "Inovāciju granti studentiem"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Plānojot šo noteikumu </w:t>
            </w:r>
            <w:r w:rsidR="00000000" w:rsidRPr="00000000" w:rsidDel="00000000">
              <w:rPr>
                <w:rtl w:val="0"/>
              </w:rPr>
              <w:t xml:space="preserve">37.1.</w:t>
            </w:r>
            <w:r w:rsidR="00000000" w:rsidRPr="00000000" w:rsidDel="00000000">
              <w:rPr>
                <w:rtl w:val="0"/>
              </w:rPr>
              <w:t xml:space="preserve"> apakšpunktā</w:t>
            </w:r>
            <w:r w:rsidR="00000000" w:rsidRPr="00000000" w:rsidDel="00000000">
              <w:rPr>
                <w:rtl w:val="0"/>
              </w:rPr>
              <w:t xml:space="preserve"> minētās tiešās attiecināmās personāla izmaksas, finansējuma saņēmējs un sadarbības partneris (ja attiecināms) veic darba laika uzskaiti par projekta vadības un īstenošanas personāla projekta ietvaros veiktajām funkcijām un nostrādāto laiku un nodrošina, ka personālam, kas nodarbināts pilnu darba laiku, nepilnu darba laiku vai daļlaiku, tiešajās attiecināmajās personāla izmaksās iekļauj darba algu, valsts sociālās apdrošināšanas obligātās iemaksas no apliekamajām attiecināmajām izmaksām, normatīvajos aktos darba tiesību un atlīdzības jomā noteiktās piemaksas un sociālo garantiju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izlemjot veikt grozījumus  Ministru kabineta noteikumos par specifisko atbalsta mērķi (turpmāk - MK noteikumi), balstoties uz 2025. gada 9. jūnijā stājās spēkā stājušos Finanšu ministrijas vadlīniju Nr. 1.2. "Vadlīnijas attiecināmo izmaksu noteikšanai Eiropas Savienības kohēzijas politikas programmas 2021.–2027.gada plānošanas periodā" 3. versiju, atbildīgajai iestādei jāņem vērā visi minētajās vadlīnijās veiktie grozījumi, ne tikai vēlamie, tas nozīmē, ka jāizvērtē visas izmaksu pozīcijas un nosacījumus MK noteikumos kurus ietekmē izmaiņas vadlīnijās. Izlemjot grozīt MK noteikumus atbilstoši izmaiņām vadlīnijās, t.sk., jāvērtē ietekme uz jau īstenošanā  esošajiem projektiem. Tādejādi, lūdzam papildināt anotāciju ar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25-TA-2154</w:t>
    </w:r>
    <w:r>
      <w:br/>
    </w:r>
    <w:r w:rsidR="00000000" w:rsidRPr="00000000" w:rsidDel="00000000">
      <w:rPr>
        <w:rtl w:val="0"/>
      </w:rPr>
      <w:t xml:space="preserve">Izdrukāts 12.01.2026. 14.31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25-TA-2154</w:t>
    </w:r>
    <w:r>
      <w:br/>
    </w:r>
    <w:r w:rsidR="00000000" w:rsidRPr="00000000" w:rsidDel="00000000">
      <w:rPr>
        <w:rtl w:val="0"/>
      </w:rPr>
      <w:t xml:space="preserve">Izdrukāts 12.01.2026. 14.31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Atzinumi_25-TA-2154.docx</dc:title>
</cp:coreProperties>
</file>

<file path=docProps/custom.xml><?xml version="1.0" encoding="utf-8"?>
<Properties xmlns="http://schemas.openxmlformats.org/officeDocument/2006/custom-properties" xmlns:vt="http://schemas.openxmlformats.org/officeDocument/2006/docPropsVTypes"/>
</file>