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izmaksas ir attiecināmas par nepabeigtām atbalstāmajām darbībām, ja tās atbilst šajos noteikumos minētajām izmaksu pozīcijām un ir radušās no 2023. gada 1.jūnija.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kurā tiek atrunāts, kas šī noteikumu projekta (4.3.3.2.pasākums) ietvaros būtu uzskatāms par darbību. Vienlaikus, anotācijā skaidrojot, vai  ar jēdzienu “pabeigta darbība” tiek saprasts “īstenots projekts”, vai arī noslēgta kāda no projekta daļām (atsevišķs pasākums, pasākumu kopums,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4.3.3.SAM rādītāju metodoloģiskais aprakts nosaka, ka “</w:t>
            </w:r>
            <w:r w:rsidR="00000000" w:rsidRPr="00000000" w:rsidDel="00000000">
              <w:rPr>
                <w:i w:val="1"/>
                <w:rtl w:val="0"/>
              </w:rPr>
              <w:t xml:space="preserve">Rādītājs tiks uzskatīts par sasniegtu, kad bezdarbnieks uzsāks dalību pasākumā (bezdarbnieka dalību pasākumā apliecinās informācija par dalību pasākumā NVA informācijas sistēmā BURVIS). Rādītāja uzskaites līmenis – projekts.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lūdzam precizēt noteikumu projektu un/vai rādītāju metodoloģisko aprakstu, tādējādi nodrošinot normatīvā regulējuma skaidras tiesību normas, kā arī audita vajadzībām izsekojamu informāciju, jo īpaši, ņemot vērā noteikumu projekta 11.punktā minēto nosacījumu par izdevumu attiecināmību nepabeigtu darbību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finansējuma saņēmēja projekta vadības un īstenošanas personāla atlīdzības izmaksas, tai skaitā veselības apdrošināšanas izmaksas un redzes korekcijas līdzekļu kompensācijas izmaksas, piemērojot vienoto likmi 20 procentu apmērā no šo noteikumu </w:t>
            </w:r>
            <w:r w:rsidR="00000000" w:rsidRPr="00000000" w:rsidDel="00000000">
              <w:rPr>
                <w:rtl w:val="0"/>
              </w:rPr>
              <w:t xml:space="preserve">16.1.</w:t>
            </w:r>
            <w:r w:rsidR="00000000" w:rsidRPr="00000000" w:rsidDel="00000000">
              <w:rPr>
                <w:rtl w:val="0"/>
              </w:rPr>
              <w:t xml:space="preserve"> apakšpunktā minētajām tiešajām attiecināmajām izmaksām, kas nav tiešās personāla izmaksas. Minētās tiešās attiecināmās personāla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 1060) 55. panta 1. punktu  projekta iesniegumā plāno kā vienu izmaksu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17.3.3.punktā ir minētas sadarbības partnera speciālistu un aprūpētāju atlīdzības izmaksas, lūdzam skaidrot, kāpēc tās nav iekļautas pie projekta īstenošanas personāla izmaksām, kam tiek piemērota vienotā likme. Vēršam uzmanību, ka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54.panta 1.punkts nosaka, ka "Darbības tiešās personāla izmaksas var aprēķināt, izmantojot vienotu likmi līdz 20 % apmērā no tiešajām izmaksām, kas nav minētās darbības tiešās personāla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 veic šo noteikumu projekta īstenošanā iesaistīto personu datu apstrādi, identificēšanu un uzskaiti projekta īstenošanas un maksājuma pieprasījumu sagatavošanas nolūkā normatīvajos aktos par kārtību, kādā Eiropas Savienības fondu 2021.–2027. gada plānošanas periodā nodrošina ieguldījumu uzraudzību un izvērtēšanu, kā arī izstrādā un uztur Kohēzijas politikas fondu vadības informācijas sistēmu” noteiktajā kārtībā un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31.11.apakšpunkta redakciju. Norādām, ka atbilstoši juridiskās tehnikas prasībām tiesību normai ir jābūt skaidrai, lai tās lietotājs un piemērotājs gūtu nepārprotamu priekšstatu par normā ietvertajiem pienākumiem un tiesībām. Attiecīgi, lai nodrošinātu normas korektumu, lūdzam aizstāt vārdus "šo noteikumu projekta" ar vārdu "projekta", ņemot vērā, ka personas iesaistīs </w:t>
            </w:r>
            <w:r w:rsidR="00000000" w:rsidRPr="00000000" w:rsidDel="00000000">
              <w:rPr>
                <w:u w:val="single"/>
                <w:rtl w:val="0"/>
              </w:rPr>
              <w:t xml:space="preserve">projekta </w:t>
            </w:r>
            <w:r w:rsidR="00000000" w:rsidRPr="00000000" w:rsidDel="00000000">
              <w:rPr>
                <w:rtl w:val="0"/>
              </w:rPr>
              <w:t xml:space="preserve">īstenošanā. Vienlaikus aicinām izvērtēt un aizstāt vārdus "normatīvajos aktos par kārtību, kādā Eiropas Savienības fondu 2021.–2027. gada plānošanas periodā nodrošina ieguldījumu uzraudzību un izvērtēšanu, kā arī izstrādā un uztur Kohēzijas politikas fondu vadības informācijas sistēmu”" ar vārdiem "Ministru kabineta 2023. gada 21. marta noteikumos Nr.135 "Eiropas Savienības fondu projektu pārbaužu veikšanas kārtība 2021.– 2027. gada plānošanas periodā"". Vēršam uzmanību, ka Ministru kabineta 2022.gada 13.decembra noteikumi Nr.770 "Kārtība, kādā Eiropas Savienības fondu 2021.–2027. gada plānošanas periodā nodrošina ieguldījumu uzraudzību un izvērtēšanu, kā arī izstrādā un uztur Kohēzijas politikas fondu vadības informācijas sistēmu" nosaka datu apjomu, kas tiek uzkrāts Kohēzijas politikas fondu vadības informācijas sistēmā. Minētie dati izriet no projekta iesnieguma un projekta (maksājuma pieprasījumi, līgumi, vienošanās, rēķini, dalībnieku pārskatu utt.), kas tiek iesniegti sadarbības iestādei Eiropas Savienības fondu uzraudzībai, izvērtēšanai, revīzijai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pārskatīt apakšpunktā ietverto datu apstrādes nolūku. Vēršam uzmanību, ka saskaņā ar Ministru kabineta 2023.gada 21.marta  noteikumu Nr.135 53.punktu, dalībnieku pārskats saskaņā ar līgumu vai vienošanos par projekta īstenošanu tiek iesniegts vienu reizi gadā līdz 30. janvārim (par iepriekšējo kalendāra gadu) un, ja attiecināms, arī kopā ar noslēguma maksājuma pieprasījumu. Attiecīgi dalībnieku pārskats tie iesniegts neatkarīgi no  maksājuma pieprasījuma, izņēmums ir tikai uz noslēguma maksājuma pieprasījumu. Papildus, ņemot vērā šajā apakšpunktā norādīto, aicinām to papildināt, ka dati par projekta dalībniekiem, izpildot Eiropas Parlamenta un Padomes 2021. gada 24. jūnija Regulas (ES) 2021/1057, ar ko izveido Eiropas Sociālo fondu Plus (ESF+) un atceļ Regulu (ES) Nr. 1296/2013 prasības tiks iesniegti arī Eiropas Komisijai.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Finanšu atbalstu (turpmāk - </w:t>
            </w:r>
            <w:r w:rsidR="00000000" w:rsidRPr="00000000" w:rsidDel="00000000">
              <w:rPr>
                <w:i w:val="1"/>
                <w:rtl w:val="0"/>
              </w:rPr>
              <w:t xml:space="preserve">de minimis</w:t>
            </w:r>
            <w:r w:rsidR="00000000" w:rsidRPr="00000000" w:rsidDel="00000000">
              <w:rPr>
                <w:rtl w:val="0"/>
              </w:rPr>
              <w:t xml:space="preserve"> atbalsts) darba devējam (turpmāk - atbalsta saņēmējs) par šo noteikumu </w:t>
            </w:r>
            <w:r w:rsidR="00000000" w:rsidRPr="00000000" w:rsidDel="00000000">
              <w:rPr>
                <w:rtl w:val="0"/>
              </w:rPr>
              <w:t xml:space="preserve">17.3.1.</w:t>
            </w:r>
            <w:r w:rsidR="00000000" w:rsidRPr="00000000" w:rsidDel="00000000">
              <w:rPr>
                <w:rtl w:val="0"/>
              </w:rPr>
              <w:t xml:space="preserve">, </w:t>
            </w:r>
            <w:r w:rsidR="00000000" w:rsidRPr="00000000" w:rsidDel="00000000">
              <w:rPr>
                <w:rtl w:val="0"/>
              </w:rPr>
              <w:t xml:space="preserve">17.3.2.</w:t>
            </w:r>
            <w:r w:rsidR="00000000" w:rsidRPr="00000000" w:rsidDel="00000000">
              <w:rPr>
                <w:rtl w:val="0"/>
              </w:rPr>
              <w:t xml:space="preserve">, </w:t>
            </w:r>
            <w:r w:rsidR="00000000" w:rsidRPr="00000000" w:rsidDel="00000000">
              <w:rPr>
                <w:rtl w:val="0"/>
              </w:rPr>
              <w:t xml:space="preserve">17.3.4.1.</w:t>
            </w:r>
            <w:r w:rsidR="00000000" w:rsidRPr="00000000" w:rsidDel="00000000">
              <w:rPr>
                <w:rtl w:val="0"/>
              </w:rPr>
              <w:t xml:space="preserve"> un </w:t>
            </w:r>
            <w:r w:rsidR="00000000" w:rsidRPr="00000000" w:rsidDel="00000000">
              <w:rPr>
                <w:rtl w:val="0"/>
              </w:rPr>
              <w:t xml:space="preserve">17.3.4.5.</w:t>
            </w:r>
            <w:r w:rsidR="00000000" w:rsidRPr="00000000" w:rsidDel="00000000">
              <w:rPr>
                <w:rtl w:val="0"/>
              </w:rPr>
              <w:t xml:space="preserve"> apakšpunktā minētajām izmaksām finansējuma saņēmējs (turpmāk – atbalsta sniedzējs) sniedz saskaņā ar Komisijas 2013. gada 18. decembra Regulu (ES) Nr. 1407/2013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2013. gada 24. decembris, Nr. L 352) (turpmāk – Regula Nr. 1407/2013), Komisijas 2014. gada 27. jūnija Regulu (EK) Nr. 717/2014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(ES Oficiālais Vēstnesis, 2013. gada 28. decembris, Nr. L 354), vai Komisijas 2013. gada 18. decembra Regulu (ES) Nr. 1408/2013 par Līguma par ES darbību 107. un 108. panta piemērošanu</w:t>
            </w:r>
            <w:r w:rsidR="00000000" w:rsidRPr="00000000" w:rsidDel="00000000">
              <w:rPr>
                <w:i w:val="1"/>
                <w:rtl w:val="0"/>
              </w:rPr>
              <w:t xml:space="preserve"> de minimis </w:t>
            </w:r>
            <w:r w:rsidR="00000000" w:rsidRPr="00000000" w:rsidDel="00000000">
              <w:rPr>
                <w:rtl w:val="0"/>
              </w:rPr>
              <w:t xml:space="preserve">atbalstam lauksaimniecības nozarē (ES Oficiālais Vēstnesis, 2013. gada 24. decembris, Nr. L 352) (turpmāk – Regula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17.3.4.apakšpunktā ir uzskaitītas attiecināmās izmaksas šo noteikumu 15.5. apakšpunktā (darbam nepieciešamo iemaņu attīstība) minētās darbības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17.3.4.1.ikmēneša stipendija bezdarbniekiem;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17.3.4.2.normatīvajos aktos par obligātajām veselības pārbaudēm noteikto veselības pārbaužu izmaksas bezdarbniekiem;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17.3.4.3.izmaksas izdevumu segšanai par bezdarbnieka dzīvības un veselības apdrošināšanu pret nelaimes gadījumiem pasākuma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17.3.4.4.valsts sociālās apdrošināšanas obligātās iemaksas pensiju apdrošināšanai saskaņā ar normatīvajiem aktiem par valsts sociālās apdrošināšanas obligātajām iemaksām no valsts pamatbudžeta un valsts sociālās apdrošināšanas speciālajiem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17.3.4.5.dotācija darba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šīm izmaksām ikmēneša stipendiju bezdarbniekam un dotāciju darba devējam ir plānots uzskaitīt kā </w:t>
            </w:r>
            <w:r w:rsidR="00000000" w:rsidRPr="00000000" w:rsidDel="00000000">
              <w:rPr>
                <w:i w:val="1"/>
                <w:rtl w:val="0"/>
              </w:rPr>
              <w:t xml:space="preserve">de minimis</w:t>
            </w:r>
            <w:r w:rsidR="00000000" w:rsidRPr="00000000" w:rsidDel="00000000">
              <w:rPr>
                <w:rtl w:val="0"/>
              </w:rPr>
              <w:t xml:space="preserve"> </w:t>
            </w:r>
            <w:r w:rsidR="00000000" w:rsidRPr="00000000" w:rsidDel="00000000">
              <w:rPr>
                <w:rtl w:val="0"/>
              </w:rPr>
              <w:t xml:space="preserve">nevalstiskajai organizācijai (turpmāk – NVO)</w:t>
            </w:r>
            <w:r w:rsidR="00000000" w:rsidRPr="00000000" w:rsidDel="00000000">
              <w:rPr>
                <w:rtl w:val="0"/>
              </w:rPr>
              <w:t xml:space="preserve"> vai augstskolai. Ņemot vērā Ministru kabineta 2011.gada 25.janvāra noteikumus Nr.75 "Noteikumi par aktīvo nodarbinātības pasākumu un preventīvo bezdarba samazināšanas pasākumu organizēšanas un finansēšanas kārtību un pasākumu īstenotāju izvēles principiem", uz kuriem ir atsauce anotācijā, 131.4. un 132.4.apakšpunktos minēto pasākuma raksturu, lūdzam izvērtēt, vai attiecībā uz pasākumu darbam nepieciešamo iemaņu attīstībai, t.sk. izmaksām ikmēneša stipendijai bezdarbniekam un dotācijai darba devējam, izpildīsies Komercdarbības atbalsta kontroles likuma 5.panta 2.punktā minētā komercdarbības atbalsta pazīme - saņemot finansiālo palīdzību, komercsabiedrība iegūst ekonomiskas priekšrocības, kādas tā nevarētu iegūt tirgus apstākļos vai tad, ja komercdarbības atbalsts netiktu sniegts. Gadījumā, ja tiek secināts, ka NVO vai augstskola īslaicīgi nodarbinot bezdarbnieku, lai pilnveidotu tā darbam nepieciešamās iemaņas biedrību un nodibinājumu statūtos minēto funkciju un augstākās izglītības iestāžu akadēmisko, pētniecisko un administratīvo funkciju nodrošināšanai, gūst ekonomisko priekšrocību tirgus apstākļos, lūdzam izvērtēt, kādēļ pērējās šo noteikumu 17.3.4.apakšpunktā ir uzskaitītās attiecināmās izmaksas nav attiecināmas uz NVO vai augstskolu kā </w:t>
            </w:r>
            <w:r w:rsidR="00000000" w:rsidRPr="00000000" w:rsidDel="00000000">
              <w:rPr>
                <w:i w:val="1"/>
                <w:rtl w:val="0"/>
              </w:rPr>
              <w:t xml:space="preserve">de minimis</w:t>
            </w:r>
            <w:r w:rsidR="00000000" w:rsidRPr="00000000" w:rsidDel="00000000">
              <w:rPr>
                <w:rtl w:val="0"/>
              </w:rPr>
              <w:t xml:space="preserve">. Pēc izvērtējuma lūdzam precizēt šo noteikumu 34.punktu un attiecīgi pārskatīt pārējos noteikumu punktus, kas saistīti ar </w:t>
            </w:r>
            <w:r w:rsidR="00000000" w:rsidRPr="00000000" w:rsidDel="00000000">
              <w:rPr>
                <w:i w:val="1"/>
                <w:rtl w:val="0"/>
              </w:rPr>
              <w:t xml:space="preserve">de minimis</w:t>
            </w:r>
            <w:r w:rsidR="00000000" w:rsidRPr="00000000" w:rsidDel="00000000">
              <w:rPr>
                <w:rtl w:val="0"/>
              </w:rPr>
              <w:t xml:space="preserve"> piešķiršanu, kā arī papildus lūdzam ar atbilstošu skaidrojumu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8.1.13.punktā ietverto atsauci uz Ministru kabineta 2022. gada 13. decembra noteikumiem Nr.770 “Kārtība, kādā Eiropas Savienības fondu 2021.–2027. gada plānošanas periodā nodrošina ieguldījumu uzraudzību un izvērtēšanu, kā arī izstrādā un uztur Kohēzijas politikas fondu vadības informācijas sistēmu”. Vēršam uzmanību, ka minētajos noteikumos ir noteikts datu apjoms, kas tiek uzkrāts un apstrādāts Kohēzijas politikas fondu vadības informācijas sistēmā. Personas dati, kas tiek uzkrāti minētajā sistēmā izriet no projekta iesnieguma un projekta (maksājuma pieprasījumi, līgumi, vienošanās, rēķini, dalībnieku pārskatu utt.). Ņemot vērā noteikumu projekta 31.7. un 31.8.apakšpunktā noteikto, projekta ietvaros tiks apstrādāti un uzkrāti dati par projekta dalībniekiem. Projekta dalībnieku datu uzkrāšanu un ziņošanu nosaka Eiropas Parlamenta un Padomes 2021. gada 24. jūnija Regula (ES) 2021/1057, ar ko izveido Eiropas Sociālo fondu Plus (ESF+) un atceļ Regulu (ES) Nr. 1296/2013 un to apkopošanu un iesniegšanu sadarbības iestādei kā dalībnieku pārskatu nosaka Ministru kabineta 2023. gada 21. marta noteikumi Nr. 135 "Eiropas Savienības fondu projektu pārbaužu veikšanas kārtība 2021.–2027. gada plānošanas periodā" (turpmāk - MK noteikumi Nr.135). Vienlaikus jāatzīmē, ka saskaņā ar MK noteikumu Nr.135 53.punktu, dalībnieku pārskats saskaņā ar līgumu vai vienošanos par projekta īstenošanu tiek iesniegts vienu reizi gadā līdz 30. janvārim (par iepriekšējo kalendāra gadu) un, ja attiecināms, arī kopā ar noslēguma maksājuma pieprasījumu. dalībnieku pārskats tie iesniegts neatkarīgi no  maksājuma pieprasījuma, izņēmums ir tikai uz noslēguma maksājuma pieprasījumu. Līdz ar to aicinām pārskatīt šajā anotācijas punktā ietverto informāciju par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sēdes protokollēmumā (prot. Nr. 36 85. § 3. punkts)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w:t>
            </w:r>
            <w:r w:rsidR="00000000" w:rsidRPr="00000000" w:rsidDel="00000000">
              <w:rPr>
                <w:i w:val="1"/>
                <w:rtl w:val="0"/>
              </w:rPr>
              <w:t xml:space="preserve">euro</w:t>
            </w:r>
            <w:r w:rsidR="00000000" w:rsidRPr="00000000" w:rsidDel="00000000">
              <w:rPr>
                <w:rtl w:val="0"/>
              </w:rPr>
              <w:t xml:space="preserve">.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projektu ar normu, kas paredz, ka finansējuma saņēmējs veic izmaksu un ieguvumu analīzi. Atbilstoši lūdzam papildināt arī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finansējums ir 65 220 765 </w:t>
            </w:r>
            <w:r w:rsidR="00000000" w:rsidRPr="00000000" w:rsidDel="00000000">
              <w:rPr>
                <w:i w:val="1"/>
                <w:rtl w:val="0"/>
              </w:rPr>
              <w:t xml:space="preserve">euro</w:t>
            </w:r>
            <w:r w:rsidR="00000000" w:rsidRPr="00000000" w:rsidDel="00000000">
              <w:rPr>
                <w:rtl w:val="0"/>
              </w:rPr>
              <w:t xml:space="preserve">, tai skaitā ESF Plus finansējums – 55 437 650 </w:t>
            </w:r>
            <w:r w:rsidR="00000000" w:rsidRPr="00000000" w:rsidDel="00000000">
              <w:rPr>
                <w:i w:val="1"/>
                <w:rtl w:val="0"/>
              </w:rPr>
              <w:t xml:space="preserve">euro </w:t>
            </w:r>
            <w:r w:rsidR="00000000" w:rsidRPr="00000000" w:rsidDel="00000000">
              <w:rPr>
                <w:rtl w:val="0"/>
              </w:rPr>
              <w:t xml:space="preserve">un valsts budžeta līdzfinansējums – 9 783 115 </w:t>
            </w:r>
            <w:r w:rsidR="00000000" w:rsidRPr="00000000" w:rsidDel="00000000">
              <w:rPr>
                <w:i w:val="1"/>
                <w:rtl w:val="0"/>
              </w:rPr>
              <w:t xml:space="preserve">euro</w:t>
            </w:r>
            <w:r w:rsidR="00000000" w:rsidRPr="00000000" w:rsidDel="00000000">
              <w:rPr>
                <w:rtl w:val="0"/>
              </w:rPr>
              <w:t xml:space="preserve">. Maksimālais attiecināmais ESF Plus finansējuma apmērs nepārsniedz 85 % no pasākuma kopējā attiecināmā finansējuma. Projekta iesniegumā pasākuma īstenošanai kopējo pasākuma pieejamo finansējumu plāno ne vairāk kā 51 220 765 </w:t>
            </w:r>
            <w:r w:rsidR="00000000" w:rsidRPr="00000000" w:rsidDel="00000000">
              <w:rPr>
                <w:i w:val="1"/>
                <w:rtl w:val="0"/>
              </w:rPr>
              <w:t xml:space="preserve">euro </w:t>
            </w:r>
            <w:r w:rsidR="00000000" w:rsidRPr="00000000" w:rsidDel="00000000">
              <w:rPr>
                <w:rtl w:val="0"/>
              </w:rPr>
              <w:t xml:space="preserve">apmērā, tai skaitā ESF Plus finansējumu – 43 537 650 </w:t>
            </w:r>
            <w:r w:rsidR="00000000" w:rsidRPr="00000000" w:rsidDel="00000000">
              <w:rPr>
                <w:i w:val="1"/>
                <w:rtl w:val="0"/>
              </w:rPr>
              <w:t xml:space="preserve">euro </w:t>
            </w:r>
            <w:r w:rsidR="00000000" w:rsidRPr="00000000" w:rsidDel="00000000">
              <w:rPr>
                <w:rtl w:val="0"/>
              </w:rPr>
              <w:t xml:space="preserve">(elastības finansējuma apjoms 11 900 000 </w:t>
            </w:r>
            <w:r w:rsidR="00000000" w:rsidRPr="00000000" w:rsidDel="00000000">
              <w:rPr>
                <w:i w:val="1"/>
                <w:rtl w:val="0"/>
              </w:rPr>
              <w:t xml:space="preserve">euro</w:t>
            </w:r>
            <w:r w:rsidR="00000000" w:rsidRPr="00000000" w:rsidDel="00000000">
              <w:rPr>
                <w:rtl w:val="0"/>
              </w:rPr>
              <w:t xml:space="preserve">) apmērā, valsts budžeta līdzfinansējumu – 7 683 115 </w:t>
            </w:r>
            <w:r w:rsidR="00000000" w:rsidRPr="00000000" w:rsidDel="00000000">
              <w:rPr>
                <w:i w:val="1"/>
                <w:rtl w:val="0"/>
              </w:rPr>
              <w:t xml:space="preserve">euro </w:t>
            </w:r>
            <w:r w:rsidR="00000000" w:rsidRPr="00000000" w:rsidDel="00000000">
              <w:rPr>
                <w:rtl w:val="0"/>
              </w:rPr>
              <w:t xml:space="preserve">(elastības finansējuma apjoms 2 100 000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7.punktā vārdus "Maksimālais attiecināmais ESF Plus finansējuma apmērs nepārsniedz 85 % no pasākuma kopējā attiecināmā finansējuma. ", ņemot vērā, ka minētais dublē noteikumu projekta 10.punktā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Maksimālais projekta īstenošanai pieejamais finansējums ir 51 220 765  </w:t>
            </w:r>
            <w:r w:rsidR="00000000" w:rsidRPr="00000000" w:rsidDel="00000000">
              <w:rPr>
                <w:i w:val="1"/>
                <w:rtl w:val="0"/>
              </w:rPr>
              <w:t xml:space="preserve">euro</w:t>
            </w:r>
            <w:r w:rsidR="00000000" w:rsidRPr="00000000" w:rsidDel="00000000">
              <w:rPr>
                <w:rtl w:val="0"/>
              </w:rPr>
              <w:t xml:space="preserve">. Atbildīgā iestāde pēc Eiropas Komisijas lēmuma par vidusposma pārskatu var ierosināt palielināt pasākumam pieejamo kopējo finansējumu līdz šo noteikumu </w:t>
            </w:r>
            <w:r w:rsidR="00000000" w:rsidRPr="00000000" w:rsidDel="00000000">
              <w:rPr>
                <w:rtl w:val="0"/>
              </w:rPr>
              <w:t xml:space="preserve">7.</w:t>
            </w:r>
            <w:r w:rsidR="00000000" w:rsidRPr="00000000" w:rsidDel="00000000">
              <w:rPr>
                <w:rtl w:val="0"/>
              </w:rPr>
              <w:t xml:space="preserve"> punktā minētajam plānotajam kopējam attiecināmā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8.punkta pirmo teikumu, ņemot vērā, ka minētais dublē noteikumu projekta 7.punktā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 informācijas un publicitātes pasākumi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15.10.apakšpunktu, nosakot, ka darbības ietver komunikācijas un vizuālās identitātes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finansējuma saņēmēja projekta vadības un īstenošanas personāla atlīdzības izmaksas, tai skaitā veselības apdrošināšanas izmaksas un redzes korekcijas līdzekļu kompensācijas izmaksas, piemērojot vienoto likmi 20 procentu apmērā no šo noteikumu </w:t>
            </w:r>
            <w:r w:rsidR="00000000" w:rsidRPr="00000000" w:rsidDel="00000000">
              <w:rPr>
                <w:rtl w:val="0"/>
              </w:rPr>
              <w:t xml:space="preserve">16.1.</w:t>
            </w:r>
            <w:r w:rsidR="00000000" w:rsidRPr="00000000" w:rsidDel="00000000">
              <w:rPr>
                <w:rtl w:val="0"/>
              </w:rPr>
              <w:t xml:space="preserve"> apakšpunktā minētajām tiešajām attiecināmajām izmaksām, kas nav tiešās personāla izmaksas. Minētās tiešās attiecināmās personāla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 1060) 55. panta 1. punktu  projekta iesniegumā plāno kā vienu izmaksu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"tai skaitā veselības apdrošināšanas izmaksas un redzes korekcijas līdzekļu kompensācijas izmaksas", tā kā personāla izmaksās ietilpstošās izmaksas ir minētas Vadošās iestādes vadlīnijās Nr. 1.2. "Vadlīnijas attiecināmo izmaksu noteikšanai 2021.-2027.gada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17.2.3. pirms darba tiesisko attiecību uzsākšanas – normatīvajos aktos par obligātajām veselības pārbaudēm noteikto obligāto veselības pārbaužu kompensācijas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anotācijā skaidrot, kam un kādos gadījumos tiek kompensētas noteikumu 17.2.3.; 17.3.1.2.1. un 17.3.4.2. apakšpunktā norādītās izmaksas par obligātajām veselības pārbaudēm, kā arī norādīt, vai nav iespējams dubultais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17.3.4. šo noteikumu </w:t>
            </w:r>
            <w:r w:rsidR="00000000" w:rsidRPr="00000000" w:rsidDel="00000000">
              <w:rPr>
                <w:rtl w:val="0"/>
              </w:rPr>
              <w:t xml:space="preserve">15.5.</w:t>
            </w:r>
            <w:r w:rsidR="00000000" w:rsidRPr="00000000" w:rsidDel="00000000">
              <w:rPr>
                <w:rtl w:val="0"/>
              </w:rPr>
              <w:t xml:space="preserve"> apakšpunktā minētās darbības nodrošināšanai: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izpratnei, lūdzam izvērtēt iespēju MK noteikumu projekta 17.3.4.apakšpunktā norādītās izmaksas izdalīt atsevišķi, norādot, tieši kuras izmaksas Nodarbinātības valsts aģentūra kompensē darba devējam un kuras mērķa grupas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iepriekšējā skaņošanas reizē izteikto iebildumu, lūdzam nosacījumu, ka tiks ņemts vērā darbinieka iesaistes periods pret projekta kopējo īstenošanas ilgumu, iekļaut arī MK noteikumu 18.1.apakšpunkta redakcijā (lūdzu skat. piedāvāto redakciju), kā arī papildus lūdzam precizēt noteikumu projekta 18.1.apakšpunktu, jo pie nepilnā darba laika darba vietas aprīkojuma izmaksas ir attiecināmas atbilstoši nepilnā darba laika noslodzei nevis proporcionāli slodzes procentuālajam sadalījumam un iesaistes periodam projektā pret projekta kopējo īstenošanas ilgumu, kā tas ir daļslodzes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3 000 euro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kā arī ņemot vērā darbinieka iesaistes periodu projektā pret projekta kopējo īstenošanas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MK noteikumu projekta 18.1.apakšpunkta teikumu "Ja personāls ir nodarbināts nepilnu darba laiku, darba vietas aprīkojuma izmaksas ir attiecināmas proporcionāli slodzes procentuālajam sadalījumam", norādot "Ja personāls ir nodarbināts nepilnu darba laiku, darba vietas aprīkojuma izmaksas ir attiecināmas </w:t>
            </w:r>
            <w:r w:rsidR="00000000" w:rsidRPr="00000000" w:rsidDel="00000000">
              <w:rPr>
                <w:b w:val="1"/>
                <w:rtl w:val="0"/>
              </w:rPr>
              <w:t xml:space="preserve">atbilstoši nepilnā darba laika noslodzei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MK noteikumu projekta 18.1.apakšpunktu papildināt, norādot, ka daļlaika gadījumā tiek ņemts vērā arī nodarbinātā iesaistes periods projektā pret projekta kopējo īstenošanas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nodrošina informācijas un publicitātes, kā arī vizuālās identitātes pasākumus, kas noteikti Regulas Nr. 2021/1060 47. un 50. pantā un atbilstoši normatīvajiem aktiem par kārtību, kādā Eiropas Savienības fondu vadībā iesaistītās institūcijas nodrošina šo fondu ieviešanu 2021. – 2027. gada plānošanas periodā un Eiropas Savienības fondu 2021. – 2027. gada plānošanas perioda, kā arī Atveseļošanas fonda komunikācijas un dizaina vadlīnijām, tai skaitā  organizē vismaz vienu informatīvo pasākumu vai aktivitāti, tajā iesaistot Eiropas Komisijas pārstāvniecību Latvijā, atbildīgo iestādi, vadošo iestādi un sadarbības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31.2.apakšpunktu, ka nodrošina komunikācijas un vizuālās identitātes prasību nodrošināšanas nosacījumu ievērošanu, kā arī atbilstoši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uzkrāj, uzskaita un iesniedz sadarbības iestādē apkopotus datus par kopējiem tūlītējiem rādītājiem atbilstoši Regulas Nr. 2021/1057 1. pielikumu un Ministru kabineta 2023. gada 21. marta noteikumu Nr.135 "Eiropas Savienības fondu projektu pārbaužu veikšanas kārtība 2021.– 2027. gada plānošanas periodā" 1.pielikumam;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31.8.apakšpunktu, vārda “pielikumu” vietā lietojot vārdu “pielikumam".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aprakstu par personāla izmaksu vienoto likmi atbilstoši Vadošās iestādes sniegtajiem komentāriem vienotās likmes apmēra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"Risinājuma apraksts" 12 lpp. ir norādīts, ka 4.3.3.2. pasākuma investīcijām būs tieša pozitīva ietekme uz horizontālo principu “Vienlīdzība, iekļaušana, nediskriminācija un pamattiesību ievērošana”, savukārt anotācijas sadaļas "Horizontālās ietekmes"  8.2.apakšpunktā ir norādīts, ka 4.3.3.2. pasākumam ir netieša ietekme uz horizontālo principu “Vienlīdzība, iekļaušana, nediskriminācija un pamattiesību ievērošana”. Lūdzam saskaņot savstarpēji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anotācija atbilstoši MK 2018.gada 17.jūlija noteikumu Nr.421 “Kārtība, kādā veic gadskārtējā valsts budžeta likumā noteiktās apropriācijas izmaiņas” 24.2.apakšpunktam, t.i. norādot nepieciešamo projekta izdevumu priekšfinansēšanas apjomu un izdevumu pozīcijas atbilstoši projektā izvirzītajam mērķim, kā arī anotācijā sniedzot argumentāciju un risku analīzi par līdzekļu piešķiršanu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pirms Eiropas Savienības fondu programmas projektu iesnieguma apstiprināšanas sadarbības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3.1. 1 304 415 </w:t>
            </w:r>
            <w:r w:rsidR="00000000" w:rsidRPr="00000000" w:rsidDel="00000000">
              <w:rPr>
                <w:i w:val="1"/>
                <w:rtl w:val="0"/>
              </w:rPr>
              <w:t xml:space="preserve">euro </w:t>
            </w:r>
            <w:r w:rsidR="00000000" w:rsidRPr="00000000" w:rsidDel="00000000">
              <w:rPr>
                <w:rtl w:val="0"/>
              </w:rPr>
              <w:t xml:space="preserve">apmērā, lai nodrošinātu 4.3.3.2. pasākuma projekta īstenošanas uzsākšanu un priekšfinansēšanu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3.1. un 3.2.apakšpunktu pirms skaitļiem “1 304 415” un “4 565 000” lietojot vārdus “ne vairāk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04.09.2023.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04.09.2023.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Atzinumi_22-TA-3227.docx</dc:title>
</cp:coreProperties>
</file>

<file path=docProps/custom.xml><?xml version="1.0" encoding="utf-8"?>
<Properties xmlns="http://schemas.openxmlformats.org/officeDocument/2006/custom-properties" xmlns:vt="http://schemas.openxmlformats.org/officeDocument/2006/docPropsVTypes"/>
</file>