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24-TA-2764: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Kapitālsabiedrību pārvaldes institūcijās nodrošināmā dzimumu līdzsvara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Kapitālsabiedrību pārvaldes institūcijās nodrošināmā dzimumu līdzsvara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Labklājības ministrijas sagatavoto likumprojektu "Kapitālsabiedrību pārvaldes institūcijās nodrošināmā dzimumu līdzsvara likums" (turpmāk - likumprojekts) un izsaka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"Kapitālsabiedrību pārvaldes institūcijās nodrošināmā dzimumu līdzsvara likums" nosaukums neatbilst tā saturam. Likumprojekts nav attiecināms uz visām kapitālsabiedrībām, bet saskaņā ar anotācijā norādīto šobrīd likumprojektā norādītajiem subjektiem atbilst tikai divi uzņēmumi. LDDK aicina Likumprojekta nosaukumu precizēt atbilstoši tā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nodrošināt sieviešu un vīriešu līdzsvarotu pārstāvību kapitālsabiedrību valdēs un padomēs (turpmāk – dzimumu līdzsvars).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noteiktais mērķis pēc tā jēgas un būtības ir diskrimināciju veicinošs. Biržā kotētu kapitālsabiedrību mērķis un uzdevums ir sasniegt noteiktus finanšu rādītājus un to pārvaldības novērtēšanas būtiskākie kritēriji ir kompetence un sasniegtie rezultāti, ne sociālas labbūtības </w:t>
            </w:r>
            <w:r w:rsidR="00000000" w:rsidRPr="00000000" w:rsidDel="00000000">
              <w:rPr>
                <w:b w:val="1"/>
                <w:rtl w:val="0"/>
              </w:rPr>
              <w:t xml:space="preserve">iespējama</w:t>
            </w:r>
            <w:r w:rsidR="00000000" w:rsidRPr="00000000" w:rsidDel="00000000">
              <w:rPr>
                <w:rtl w:val="0"/>
              </w:rPr>
              <w:t xml:space="preserve"> veicināšana nepietiekami pārstāvētai pārvaldības daļai. Likumprojekta 1. pantā punktā noteiktais mērķis ir pretrunā tālāk likumprojekta 4. pantā noteiktajiem diskriminācijas aizliegumiem, jo tas veicina diskrimināciju, mudinot izvēlēties valdes vai padomes locekļus pēc to dzimuma atbilstoši noteiktām "kvotām", proti, lai tiktu sasniegti likumprojekta 3. panta 1. un 2. punktā noteiktie 40 vai trīsdesmit trīs procenti. Atbilstoša valdes vai padomes locekļu kandidātu izvēle ir balstāma tikai uz kompetenci, pieredzi, atbilstību amata prasībām un specifikai nevis dzimumu, rasi vai citu potenciāli diskriminējošu parametru. LDDK ieskatā nav saskatāms kā šāda regulējuma ieviešana var veicināt kapitālsabiedrībām uzstādīto mērķu, finanšu rādītāju ātrāku vai augstāku sasniegšanu, līdz ar to šāda normatīvā regulējuma ieviešana nav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subjekts šā panta pirmajā daļā noteikto informāciju reizi gadā iesniedz Latvijas Bankai. Likuma subjekts ir atbrīvots no informācijas iesniegšanas Latvijas Bankai, ja tas šā panta pirmajā daļā noteikto informāciju ir atklājis paziņojumā par korporatīvo pārvaldību atbilstoši Finanšu instrumentu tirgus likuma prasībām un tas ir pieejams oficiālajā regulētās informācijas centralizētās glabāšanas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nav lietderīgi kapitālsabiedrībām gatavot speciālu ziņojumu iesniegšanai Latvijas Bankā, ja pastāv iespēja informāciju publicēt katras kapitālsabiedrības tīmekļvietnē.  Birokrātijas sloga mazināšanai, LDDK aicina dzēst no likumprojekta 5.panta trešās daļas kapitālsabiedrībām uzlikto pienākumu, reizi gadā informēt Latvijas Banku. Ņemot vērā nelielo likumprojekta subjektu skaitu, uzraugošajām institūcijām nav administratīvs slogs veikt pārbaudi, vai likumprojekta subjekts ir veicis tam uzlikto pienākumu un publicējis 5. panta pirmajā daļā norādīto informāciju savā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subjekts ir atbrīvots no informācijas publicēšanas savā tīmekļvietnē, ja tas šā panta pirmajā daļā noteikto informāciju ir atklājis paziņojumā par korporatīvo pārvaldību atbilstoši Finanšu instrumentu tirgus likuma prasībām un tas ir pieejams oficiālajā regulētās informācijas centralizētās glabāšanas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12.12.2024. 23.11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12.12.2024. 23.11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Atzinumi_24-TA-2764.docx</dc:title>
</cp:coreProperties>
</file>

<file path=docProps/custom.xml><?xml version="1.0" encoding="utf-8"?>
<Properties xmlns="http://schemas.openxmlformats.org/officeDocument/2006/custom-properties" xmlns:vt="http://schemas.openxmlformats.org/officeDocument/2006/docPropsVTypes"/>
</file>