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1"/>
        <w:gridCol w:w="4004"/>
      </w:tblGrid>
      <w:tr w:rsidR="00FA6757" w14:paraId="0A219D6E" w14:textId="77777777" w:rsidTr="00CF1CEA">
        <w:trPr>
          <w:trHeight w:val="851"/>
        </w:trPr>
        <w:tc>
          <w:tcPr>
            <w:tcW w:w="5637" w:type="dxa"/>
            <w:hideMark/>
          </w:tcPr>
          <w:p w14:paraId="7DF7B58B" w14:textId="77777777" w:rsidR="00064AA3" w:rsidRDefault="00000000" w:rsidP="00CF1CEA">
            <w:pPr>
              <w:pStyle w:val="BodyB"/>
              <w:tabs>
                <w:tab w:val="left" w:pos="6237"/>
              </w:tabs>
              <w:ind w:left="-100"/>
              <w:rPr>
                <w:rFonts w:cs="Times New Roman"/>
              </w:rPr>
            </w:pPr>
            <w:r>
              <w:rPr>
                <w:rFonts w:cs="Times New Roman"/>
              </w:rPr>
              <w:t>Rīgā</w:t>
            </w:r>
          </w:p>
          <w:p w14:paraId="22FC8704" w14:textId="77777777" w:rsidR="00064AA3" w:rsidRDefault="00000000" w:rsidP="00CF1CEA">
            <w:pPr>
              <w:pStyle w:val="BodyB"/>
              <w:tabs>
                <w:tab w:val="left" w:pos="6237"/>
              </w:tabs>
              <w:ind w:left="-100"/>
              <w:rPr>
                <w:rFonts w:cs="Times New Roman"/>
              </w:rPr>
            </w:pPr>
            <w:r>
              <w:rPr>
                <w:rFonts w:cs="Times New Roman"/>
                <w:noProof/>
              </w:rPr>
              <w:t>Datums skatāms laika zīmogā</w:t>
            </w:r>
            <w:r>
              <w:rPr>
                <w:rFonts w:cs="Times New Roman"/>
              </w:rPr>
              <w:t xml:space="preserve"> Nr.</w:t>
            </w:r>
            <w:r>
              <w:rPr>
                <w:rFonts w:cs="Times New Roman"/>
                <w:noProof/>
              </w:rPr>
              <w:t>4-7-1/1176</w:t>
            </w:r>
          </w:p>
          <w:p w14:paraId="4CD45F1F" w14:textId="77777777" w:rsidR="00064AA3" w:rsidRDefault="00064AA3" w:rsidP="00CF1CEA">
            <w:pPr>
              <w:pStyle w:val="BodyB"/>
              <w:tabs>
                <w:tab w:val="left" w:pos="6237"/>
              </w:tabs>
              <w:ind w:left="-100"/>
              <w:rPr>
                <w:rFonts w:cs="Times New Roman"/>
              </w:rPr>
            </w:pPr>
          </w:p>
        </w:tc>
        <w:tc>
          <w:tcPr>
            <w:tcW w:w="4002" w:type="dxa"/>
          </w:tcPr>
          <w:p w14:paraId="0A520AB9" w14:textId="77777777" w:rsidR="00064AA3" w:rsidRDefault="00064AA3" w:rsidP="00CF1CEA">
            <w:pPr>
              <w:pStyle w:val="BodyB"/>
              <w:rPr>
                <w:rFonts w:cs="Times New Roman"/>
              </w:rPr>
            </w:pPr>
          </w:p>
          <w:p w14:paraId="08720240" w14:textId="77777777" w:rsidR="00064AA3" w:rsidRDefault="00064AA3" w:rsidP="00CF1CEA">
            <w:pPr>
              <w:pStyle w:val="BodyB"/>
              <w:rPr>
                <w:rFonts w:cs="Times New Roman"/>
              </w:rPr>
            </w:pPr>
          </w:p>
          <w:p w14:paraId="18CCF6B8" w14:textId="77777777" w:rsidR="00064AA3" w:rsidRDefault="00064AA3" w:rsidP="00CF1CEA">
            <w:pPr>
              <w:pStyle w:val="BodyB"/>
              <w:rPr>
                <w:rFonts w:cs="Times New Roman"/>
              </w:rPr>
            </w:pPr>
          </w:p>
        </w:tc>
      </w:tr>
      <w:tr w:rsidR="00FA6757" w14:paraId="695EAE8C" w14:textId="77777777" w:rsidTr="00CF1CEA">
        <w:trPr>
          <w:trHeight w:val="310"/>
        </w:trPr>
        <w:tc>
          <w:tcPr>
            <w:tcW w:w="5637" w:type="dxa"/>
          </w:tcPr>
          <w:p w14:paraId="46A13B5C" w14:textId="77777777" w:rsidR="00064AA3" w:rsidRDefault="00064AA3" w:rsidP="00CF1CEA">
            <w:pPr>
              <w:pStyle w:val="BodyB"/>
              <w:tabs>
                <w:tab w:val="left" w:pos="6237"/>
              </w:tabs>
              <w:rPr>
                <w:rFonts w:cs="Times New Roman"/>
              </w:rPr>
            </w:pPr>
          </w:p>
        </w:tc>
        <w:tc>
          <w:tcPr>
            <w:tcW w:w="4002" w:type="dxa"/>
            <w:hideMark/>
          </w:tcPr>
          <w:p w14:paraId="326F0D51" w14:textId="77777777" w:rsidR="00064AA3" w:rsidRDefault="00000000" w:rsidP="00CF1CEA">
            <w:pPr>
              <w:pStyle w:val="BodyB"/>
              <w:rPr>
                <w:rFonts w:cs="Times New Roman"/>
              </w:rPr>
            </w:pPr>
            <w:r>
              <w:rPr>
                <w:rFonts w:cs="Times New Roman"/>
                <w:noProof/>
              </w:rPr>
              <w:t xml:space="preserve">        </w:t>
            </w:r>
            <w:r w:rsidR="00F6568F">
              <w:rPr>
                <w:rFonts w:cs="Times New Roman"/>
                <w:noProof/>
              </w:rPr>
              <w:t>Klimata un enerģētikas ministrija</w:t>
            </w:r>
            <w:r>
              <w:rPr>
                <w:rFonts w:cs="Times New Roman"/>
                <w:noProof/>
              </w:rPr>
              <w:t>i</w:t>
            </w:r>
          </w:p>
        </w:tc>
      </w:tr>
      <w:tr w:rsidR="00FA6757" w14:paraId="79C3A631" w14:textId="77777777" w:rsidTr="00CF1CEA">
        <w:trPr>
          <w:trHeight w:val="310"/>
        </w:trPr>
        <w:tc>
          <w:tcPr>
            <w:tcW w:w="5637" w:type="dxa"/>
          </w:tcPr>
          <w:p w14:paraId="705B0DB1" w14:textId="77777777" w:rsidR="00064AA3" w:rsidRDefault="00064AA3" w:rsidP="00CF1CEA">
            <w:pPr>
              <w:pStyle w:val="BodyB"/>
              <w:tabs>
                <w:tab w:val="left" w:pos="6237"/>
              </w:tabs>
              <w:rPr>
                <w:rFonts w:cs="Times New Roman"/>
              </w:rPr>
            </w:pPr>
          </w:p>
        </w:tc>
        <w:tc>
          <w:tcPr>
            <w:tcW w:w="4002" w:type="dxa"/>
            <w:hideMark/>
          </w:tcPr>
          <w:p w14:paraId="70294186" w14:textId="77777777" w:rsidR="00064AA3" w:rsidRDefault="00000000" w:rsidP="00CF1CEA">
            <w:pPr>
              <w:pStyle w:val="BodyB"/>
              <w:rPr>
                <w:rFonts w:cs="Times New Roman"/>
              </w:rPr>
            </w:pPr>
            <w:r>
              <w:rPr>
                <w:rFonts w:cs="Times New Roman"/>
                <w:noProof/>
              </w:rPr>
              <w:t xml:space="preserve">        </w:t>
            </w:r>
            <w:r w:rsidR="00F6568F">
              <w:rPr>
                <w:rFonts w:cs="Times New Roman"/>
                <w:noProof/>
              </w:rPr>
              <w:t>Peldu iela 26/28, Rīga, LV-1050</w:t>
            </w:r>
          </w:p>
        </w:tc>
      </w:tr>
      <w:tr w:rsidR="00FA6757" w14:paraId="3B06AF25" w14:textId="77777777" w:rsidTr="00CF1CEA">
        <w:trPr>
          <w:trHeight w:val="310"/>
        </w:trPr>
        <w:tc>
          <w:tcPr>
            <w:tcW w:w="5637" w:type="dxa"/>
          </w:tcPr>
          <w:p w14:paraId="61CB9105" w14:textId="77777777" w:rsidR="00064AA3" w:rsidRDefault="00064AA3" w:rsidP="00CF1CEA">
            <w:pPr>
              <w:pStyle w:val="BodyB"/>
              <w:tabs>
                <w:tab w:val="left" w:pos="6237"/>
              </w:tabs>
              <w:rPr>
                <w:rFonts w:cs="Times New Roman"/>
              </w:rPr>
            </w:pPr>
          </w:p>
        </w:tc>
        <w:tc>
          <w:tcPr>
            <w:tcW w:w="4002" w:type="dxa"/>
            <w:hideMark/>
          </w:tcPr>
          <w:p w14:paraId="59876A52" w14:textId="77777777" w:rsidR="00064AA3" w:rsidRDefault="00000000" w:rsidP="00CF1CEA">
            <w:pPr>
              <w:pStyle w:val="BodyB"/>
              <w:rPr>
                <w:rFonts w:cs="Times New Roman"/>
              </w:rPr>
            </w:pPr>
            <w:r>
              <w:rPr>
                <w:rFonts w:cs="Times New Roman"/>
                <w:noProof/>
              </w:rPr>
              <w:t xml:space="preserve">        </w:t>
            </w:r>
            <w:r w:rsidR="00F6568F">
              <w:rPr>
                <w:rFonts w:cs="Times New Roman"/>
                <w:noProof/>
              </w:rPr>
              <w:t>pasts@kem.gov.lv</w:t>
            </w:r>
          </w:p>
        </w:tc>
      </w:tr>
    </w:tbl>
    <w:p w14:paraId="0A79F2BD" w14:textId="77777777" w:rsidR="00064AA3" w:rsidRDefault="00064AA3" w:rsidP="00064AA3">
      <w:pPr>
        <w:pStyle w:val="BodyB"/>
        <w:rPr>
          <w:rFonts w:cs="Times New Roman"/>
        </w:rPr>
      </w:pPr>
    </w:p>
    <w:p w14:paraId="0361FD67" w14:textId="77777777" w:rsidR="00064AA3" w:rsidRDefault="00064AA3" w:rsidP="00064AA3">
      <w:pPr>
        <w:pStyle w:val="Default"/>
        <w:jc w:val="both"/>
        <w:rPr>
          <w:rFonts w:ascii="Times New Roman" w:hAnsi="Times New Roman" w:cs="Times New Roman"/>
          <w:sz w:val="24"/>
          <w:szCs w:val="24"/>
        </w:rPr>
      </w:pPr>
    </w:p>
    <w:p w14:paraId="6143097F" w14:textId="77777777" w:rsidR="00F6568F" w:rsidRDefault="00000000" w:rsidP="00064AA3">
      <w:pPr>
        <w:pStyle w:val="Default"/>
        <w:rPr>
          <w:rFonts w:ascii="Times New Roman" w:hAnsi="Times New Roman" w:cs="Times New Roman"/>
          <w:noProof/>
          <w:sz w:val="24"/>
          <w:szCs w:val="24"/>
        </w:rPr>
      </w:pPr>
      <w:r>
        <w:rPr>
          <w:rFonts w:ascii="Times New Roman" w:hAnsi="Times New Roman" w:cs="Times New Roman"/>
          <w:noProof/>
          <w:sz w:val="24"/>
          <w:szCs w:val="24"/>
        </w:rPr>
        <w:t>Par noteikumu projektu “Grozījumi Ministru kabineta</w:t>
      </w:r>
    </w:p>
    <w:p w14:paraId="63D02600" w14:textId="77777777" w:rsidR="00F6568F" w:rsidRDefault="00000000" w:rsidP="00064AA3">
      <w:pPr>
        <w:pStyle w:val="Default"/>
        <w:rPr>
          <w:rFonts w:ascii="Times New Roman" w:hAnsi="Times New Roman" w:cs="Times New Roman"/>
          <w:noProof/>
          <w:sz w:val="24"/>
          <w:szCs w:val="24"/>
        </w:rPr>
      </w:pPr>
      <w:r>
        <w:rPr>
          <w:rFonts w:ascii="Times New Roman" w:hAnsi="Times New Roman" w:cs="Times New Roman"/>
          <w:noProof/>
          <w:sz w:val="24"/>
          <w:szCs w:val="24"/>
        </w:rPr>
        <w:t xml:space="preserve">2017.gada 7.februāra noteikumos Nr.78 “Dabasgāzes </w:t>
      </w:r>
    </w:p>
    <w:p w14:paraId="434EB82C" w14:textId="77777777" w:rsidR="00064AA3" w:rsidRDefault="00000000" w:rsidP="00064AA3">
      <w:pPr>
        <w:pStyle w:val="Default"/>
        <w:rPr>
          <w:rFonts w:ascii="Times New Roman" w:hAnsi="Times New Roman" w:cs="Times New Roman"/>
          <w:sz w:val="24"/>
          <w:szCs w:val="24"/>
        </w:rPr>
      </w:pPr>
      <w:r>
        <w:rPr>
          <w:rFonts w:ascii="Times New Roman" w:hAnsi="Times New Roman" w:cs="Times New Roman"/>
          <w:noProof/>
          <w:sz w:val="24"/>
          <w:szCs w:val="24"/>
        </w:rPr>
        <w:t>tirdzniecības un lietošanas noteikumi”” (23-TA-510)</w:t>
      </w:r>
    </w:p>
    <w:p w14:paraId="3DFC5896" w14:textId="77777777" w:rsidR="00064AA3" w:rsidRDefault="00064AA3" w:rsidP="00064AA3">
      <w:pPr>
        <w:pStyle w:val="Default"/>
        <w:jc w:val="both"/>
        <w:rPr>
          <w:rFonts w:ascii="Times New Roman" w:hAnsi="Times New Roman" w:cs="Times New Roman"/>
          <w:sz w:val="24"/>
          <w:szCs w:val="24"/>
        </w:rPr>
      </w:pPr>
    </w:p>
    <w:p w14:paraId="14DF3BDA" w14:textId="77777777" w:rsidR="00064AA3" w:rsidRDefault="00064AA3" w:rsidP="00064AA3">
      <w:pPr>
        <w:pStyle w:val="Default"/>
        <w:jc w:val="both"/>
        <w:rPr>
          <w:rFonts w:ascii="Times New Roman" w:hAnsi="Times New Roman" w:cs="Times New Roman"/>
          <w:sz w:val="24"/>
          <w:szCs w:val="24"/>
        </w:rPr>
      </w:pPr>
    </w:p>
    <w:p w14:paraId="5307C700" w14:textId="77777777" w:rsidR="00F6568F" w:rsidRPr="00340D01" w:rsidRDefault="00000000" w:rsidP="00F6568F">
      <w:pPr>
        <w:ind w:firstLine="709"/>
        <w:jc w:val="both"/>
        <w:rPr>
          <w:lang w:val="lv-LV"/>
        </w:rPr>
      </w:pPr>
      <w:r w:rsidRPr="00340D01">
        <w:rPr>
          <w:lang w:val="lv-LV"/>
        </w:rPr>
        <w:t>Akciju sabiedrība “</w:t>
      </w:r>
      <w:proofErr w:type="spellStart"/>
      <w:r w:rsidRPr="00340D01">
        <w:rPr>
          <w:lang w:val="lv-LV"/>
        </w:rPr>
        <w:t>Gaso</w:t>
      </w:r>
      <w:proofErr w:type="spellEnd"/>
      <w:r w:rsidRPr="00340D01">
        <w:rPr>
          <w:lang w:val="lv-LV"/>
        </w:rPr>
        <w:t xml:space="preserve">” (turpmāk – </w:t>
      </w:r>
      <w:proofErr w:type="spellStart"/>
      <w:r w:rsidRPr="00340D01">
        <w:rPr>
          <w:lang w:val="lv-LV"/>
        </w:rPr>
        <w:t>Gaso</w:t>
      </w:r>
      <w:proofErr w:type="spellEnd"/>
      <w:r w:rsidRPr="00340D01">
        <w:rPr>
          <w:lang w:val="lv-LV"/>
        </w:rPr>
        <w:t>) ir izvērtējusi sabiedriskai apspriedei izsludināto noteikumu projektu “Grozījumi Ministru kabineta 2017.gada 7.februāra noteikumos Nr.78 “Dabasgāzes tirdzniecības un lietošanas noteikumi”” (23-TA-510) (turpmāk – Noteikumu projekts) un par tā saturu izsaka šādus priekšlikumus:</w:t>
      </w:r>
    </w:p>
    <w:p w14:paraId="6C6A3CAA" w14:textId="77777777" w:rsidR="00F6568F" w:rsidRPr="00340D01" w:rsidRDefault="00F6568F" w:rsidP="00F6568F">
      <w:pPr>
        <w:ind w:firstLine="709"/>
        <w:jc w:val="both"/>
        <w:rPr>
          <w:lang w:val="lv-LV"/>
        </w:rPr>
      </w:pPr>
    </w:p>
    <w:p w14:paraId="42A634A7" w14:textId="77777777" w:rsidR="00F6568F" w:rsidRPr="00340D01" w:rsidRDefault="00000000" w:rsidP="00F6568F">
      <w:pPr>
        <w:ind w:firstLine="709"/>
        <w:jc w:val="both"/>
        <w:rPr>
          <w:lang w:val="lv-LV"/>
        </w:rPr>
      </w:pPr>
      <w:r w:rsidRPr="00340D01">
        <w:rPr>
          <w:lang w:val="lv-LV"/>
        </w:rPr>
        <w:t>1. Lai nodrošinātu precizitāti definējot pēdējās garantētās piegādes (turpmāk – PGP) pakalpojuma saturu, ierosinām Noteikumu 2.26.apakšpunktā paredzēto PGP pakalpojuma definējumu papildināt ar vārdiem “un gazificētā objekta īpašnieks vai lietotājs nav nodrošinājis iespēju sadales sistēmas operatoram pārtraukt dabasgāzes padevi gazificētajā objektā”. Šāds precizējums nodrošinās PGP pakalpojuma definējuma atbilstību Enerģētikas likuma 109.panta otrajai daļai.</w:t>
      </w:r>
    </w:p>
    <w:p w14:paraId="7D3EBDE9" w14:textId="77777777" w:rsidR="00F6568F" w:rsidRPr="00340D01" w:rsidRDefault="00000000" w:rsidP="00F6568F">
      <w:pPr>
        <w:ind w:firstLine="709"/>
        <w:jc w:val="both"/>
        <w:rPr>
          <w:lang w:val="lv-LV"/>
        </w:rPr>
      </w:pPr>
      <w:r w:rsidRPr="00340D01">
        <w:rPr>
          <w:lang w:val="lv-LV"/>
        </w:rPr>
        <w:t xml:space="preserve">2. Pildot sadales sistēmas operatora funkcijas, </w:t>
      </w:r>
      <w:proofErr w:type="spellStart"/>
      <w:r w:rsidRPr="00340D01">
        <w:rPr>
          <w:lang w:val="lv-LV"/>
        </w:rPr>
        <w:t>Gaso</w:t>
      </w:r>
      <w:proofErr w:type="spellEnd"/>
      <w:r w:rsidRPr="00340D01">
        <w:rPr>
          <w:lang w:val="lv-LV"/>
        </w:rPr>
        <w:t xml:space="preserve"> </w:t>
      </w:r>
      <w:r>
        <w:rPr>
          <w:lang w:val="lv-LV"/>
        </w:rPr>
        <w:t xml:space="preserve">ir </w:t>
      </w:r>
      <w:proofErr w:type="spellStart"/>
      <w:r>
        <w:rPr>
          <w:lang w:val="lv-LV"/>
        </w:rPr>
        <w:t>sask</w:t>
      </w:r>
      <w:r w:rsidR="00525A9D">
        <w:rPr>
          <w:lang w:val="lv-LV"/>
        </w:rPr>
        <w:t>ā</w:t>
      </w:r>
      <w:r>
        <w:rPr>
          <w:lang w:val="lv-LV"/>
        </w:rPr>
        <w:t>ries</w:t>
      </w:r>
      <w:proofErr w:type="spellEnd"/>
      <w:r w:rsidRPr="00340D01">
        <w:rPr>
          <w:lang w:val="lv-LV"/>
        </w:rPr>
        <w:t xml:space="preserve"> ar gadījumiem, kad</w:t>
      </w:r>
      <w:r w:rsidR="00525A9D">
        <w:rPr>
          <w:lang w:val="lv-LV"/>
        </w:rPr>
        <w:t>,</w:t>
      </w:r>
      <w:r w:rsidRPr="00340D01">
        <w:rPr>
          <w:lang w:val="lv-LV"/>
        </w:rPr>
        <w:t xml:space="preserve"> mainoties gazificētā objekta lietotājam</w:t>
      </w:r>
      <w:r w:rsidR="00525A9D">
        <w:rPr>
          <w:lang w:val="lv-LV"/>
        </w:rPr>
        <w:t>,</w:t>
      </w:r>
      <w:r w:rsidRPr="00340D01">
        <w:rPr>
          <w:lang w:val="lv-LV"/>
        </w:rPr>
        <w:t xml:space="preserve"> iepriekšējais lietotājs neizbeidz dabasgāzes tirdzniecības līgumu, bet jaunais lietotājs, nenoslēdzot dabasgāzes tirdzniecības līgumu, lieto dabasgāzi un izvairās no samaksas par patērēto dabasgāzi. Šādas situācijas veido </w:t>
      </w:r>
      <w:proofErr w:type="spellStart"/>
      <w:r w:rsidRPr="00340D01">
        <w:rPr>
          <w:lang w:val="lv-LV"/>
        </w:rPr>
        <w:t>Gaso</w:t>
      </w:r>
      <w:proofErr w:type="spellEnd"/>
      <w:r w:rsidRPr="00340D01">
        <w:rPr>
          <w:lang w:val="lv-LV"/>
        </w:rPr>
        <w:t xml:space="preserve"> lieku administratīvo slogu, kā arī pavairo dabasgāzes zudumus, kuru kompensēšana gulstas uz godprātīgo lietotāju pleciem. Šāda bezatbildīga rīcība no lietotāja puses pilnīgi liberalizētā dabasgāzes tirgus apstākļos nav pieņemama. Ievērojot minēto</w:t>
      </w:r>
      <w:r>
        <w:rPr>
          <w:lang w:val="lv-LV"/>
        </w:rPr>
        <w:t>,</w:t>
      </w:r>
      <w:r w:rsidRPr="00340D01">
        <w:rPr>
          <w:lang w:val="lv-LV"/>
        </w:rPr>
        <w:t xml:space="preserve"> </w:t>
      </w:r>
      <w:proofErr w:type="spellStart"/>
      <w:r w:rsidRPr="00340D01">
        <w:rPr>
          <w:lang w:val="lv-LV"/>
        </w:rPr>
        <w:t>Gaso</w:t>
      </w:r>
      <w:proofErr w:type="spellEnd"/>
      <w:r w:rsidRPr="00340D01">
        <w:rPr>
          <w:lang w:val="lv-LV"/>
        </w:rPr>
        <w:t xml:space="preserve"> ierosina Noteikumu 31.</w:t>
      </w:r>
      <w:r w:rsidRPr="00340D01">
        <w:rPr>
          <w:vertAlign w:val="superscript"/>
          <w:lang w:val="lv-LV"/>
        </w:rPr>
        <w:t>1</w:t>
      </w:r>
      <w:r w:rsidRPr="00340D01">
        <w:rPr>
          <w:lang w:val="lv-LV"/>
        </w:rPr>
        <w:t> punktu izteikt šādā redakcijā:</w:t>
      </w:r>
    </w:p>
    <w:p w14:paraId="6B088C47" w14:textId="77777777" w:rsidR="00F6568F" w:rsidRPr="00340D01" w:rsidRDefault="00000000" w:rsidP="00F6568F">
      <w:pPr>
        <w:ind w:firstLine="709"/>
        <w:jc w:val="both"/>
        <w:rPr>
          <w:lang w:val="lv-LV"/>
        </w:rPr>
      </w:pPr>
      <w:r w:rsidRPr="00340D01">
        <w:rPr>
          <w:lang w:val="lv-LV"/>
        </w:rPr>
        <w:t>“31.</w:t>
      </w:r>
      <w:r w:rsidRPr="00340D01">
        <w:rPr>
          <w:vertAlign w:val="superscript"/>
          <w:lang w:val="lv-LV"/>
        </w:rPr>
        <w:t xml:space="preserve">1 </w:t>
      </w:r>
      <w:r w:rsidRPr="00340D01">
        <w:rPr>
          <w:lang w:val="lv-LV"/>
        </w:rPr>
        <w:t xml:space="preserve">Lietotājam, izbeidzot dabasgāzes tirdzniecības līgumu, tā saistības </w:t>
      </w:r>
      <w:r>
        <w:rPr>
          <w:lang w:val="lv-LV"/>
        </w:rPr>
        <w:t>nevar būt izbeigtas, kamēr lietotājs nav nodrošinājis</w:t>
      </w:r>
      <w:r w:rsidRPr="00340D01">
        <w:rPr>
          <w:lang w:val="lv-LV"/>
        </w:rPr>
        <w:t xml:space="preserve"> dabasgāzes piegādes pārtraukšanu (</w:t>
      </w:r>
      <w:r>
        <w:rPr>
          <w:lang w:val="lv-LV"/>
        </w:rPr>
        <w:t>izpildot</w:t>
      </w:r>
      <w:r w:rsidRPr="00340D01">
        <w:rPr>
          <w:lang w:val="lv-LV"/>
        </w:rPr>
        <w:t xml:space="preserve"> 31.3.apakšpunkta</w:t>
      </w:r>
      <w:r>
        <w:rPr>
          <w:lang w:val="lv-LV"/>
        </w:rPr>
        <w:t xml:space="preserve"> prasības</w:t>
      </w:r>
      <w:r w:rsidRPr="00340D01">
        <w:rPr>
          <w:lang w:val="lv-LV"/>
        </w:rPr>
        <w:t xml:space="preserve">) vai </w:t>
      </w:r>
      <w:r>
        <w:rPr>
          <w:lang w:val="lv-LV"/>
        </w:rPr>
        <w:t xml:space="preserve">kamēr gazificētajā objektā nav noslēgts </w:t>
      </w:r>
      <w:r w:rsidRPr="00340D01">
        <w:rPr>
          <w:lang w:val="lv-LV"/>
        </w:rPr>
        <w:t>jaun</w:t>
      </w:r>
      <w:r>
        <w:rPr>
          <w:lang w:val="lv-LV"/>
        </w:rPr>
        <w:t>s</w:t>
      </w:r>
      <w:r w:rsidRPr="00340D01">
        <w:rPr>
          <w:lang w:val="lv-LV"/>
        </w:rPr>
        <w:t xml:space="preserve"> dabasgāzes tirdzniecības līgum</w:t>
      </w:r>
      <w:r>
        <w:rPr>
          <w:lang w:val="lv-LV"/>
        </w:rPr>
        <w:t>s</w:t>
      </w:r>
      <w:r w:rsidRPr="00340D01">
        <w:rPr>
          <w:lang w:val="lv-LV"/>
        </w:rPr>
        <w:t>.”.</w:t>
      </w:r>
    </w:p>
    <w:p w14:paraId="41FA6AB7" w14:textId="77777777" w:rsidR="00F6568F" w:rsidRPr="00340D01" w:rsidRDefault="00000000" w:rsidP="00F6568F">
      <w:pPr>
        <w:ind w:firstLine="709"/>
        <w:jc w:val="both"/>
        <w:rPr>
          <w:lang w:val="lv-LV"/>
        </w:rPr>
      </w:pPr>
      <w:r w:rsidRPr="00340D01">
        <w:rPr>
          <w:lang w:val="lv-LV"/>
        </w:rPr>
        <w:t xml:space="preserve">Papildus vēršam uzmanību uz to, ka jau šobrīd Noteikumu 31.1.apakšpunkts uzliek par pienākumu lietotājam, </w:t>
      </w:r>
      <w:r w:rsidRPr="00340D01">
        <w:rPr>
          <w:shd w:val="clear" w:color="auto" w:fill="FFFFFF"/>
          <w:lang w:val="lv-LV"/>
        </w:rPr>
        <w:t>izbeidzoties dabasgāzes tirdzniecības līgumam, nodrošināt sadales sistēmas operatoram piekļuvi dabasgāzes apgādes sistēmai gazificētajā objektā dabasgāzes piegādes pārtraukšanai. Savukārt no tiesību teorijas izriet, ka imperatīvā tiesību norma nav efektīva</w:t>
      </w:r>
      <w:r>
        <w:rPr>
          <w:shd w:val="clear" w:color="auto" w:fill="FFFFFF"/>
          <w:lang w:val="lv-LV"/>
        </w:rPr>
        <w:t xml:space="preserve"> vai pat nedarbojas</w:t>
      </w:r>
      <w:r w:rsidRPr="00340D01">
        <w:rPr>
          <w:shd w:val="clear" w:color="auto" w:fill="FFFFFF"/>
          <w:lang w:val="lv-LV"/>
        </w:rPr>
        <w:t>, ja neiestājās tiesiskās sekas tās neizpildīšanas gadījumā.</w:t>
      </w:r>
    </w:p>
    <w:p w14:paraId="3EDCD01D" w14:textId="77777777" w:rsidR="00F6568F" w:rsidRPr="00340D01" w:rsidRDefault="00000000" w:rsidP="00F6568F">
      <w:pPr>
        <w:ind w:firstLine="709"/>
        <w:jc w:val="both"/>
        <w:rPr>
          <w:shd w:val="clear" w:color="auto" w:fill="FFFFFF"/>
          <w:lang w:val="lv-LV"/>
        </w:rPr>
      </w:pPr>
      <w:r w:rsidRPr="00340D01">
        <w:rPr>
          <w:lang w:val="lv-LV"/>
        </w:rPr>
        <w:t>3. Noteikumu projektā paredzētajā 67.</w:t>
      </w:r>
      <w:r w:rsidRPr="00340D01">
        <w:rPr>
          <w:vertAlign w:val="superscript"/>
          <w:lang w:val="lv-LV"/>
        </w:rPr>
        <w:t>1</w:t>
      </w:r>
      <w:r w:rsidRPr="00340D01">
        <w:rPr>
          <w:lang w:val="lv-LV"/>
        </w:rPr>
        <w:t xml:space="preserve"> punktā ir noteikts, ka </w:t>
      </w:r>
      <w:r w:rsidRPr="00340D01">
        <w:rPr>
          <w:shd w:val="clear" w:color="auto" w:fill="FFFFFF"/>
          <w:lang w:val="lv-LV"/>
        </w:rPr>
        <w:t xml:space="preserve">PGP pakalpojuma sniedzējs PGP pakalpojumu sniedz par dubultu universālā pakalpojuma maksu. Ievērojot to, ka PGP pakalpojumam ir pagaidu raksturs, kā arī PGP pakalpojuma sniedzēju ir jāizvēlas atklāta konkursa kārtībā, ierosinām neierobežot PGP pakalpojuma maksu ar dubulto universālā pakalpojuma maksu, jo pakalpojuma sniegšanas maksa faktiski ir vienīgais vērtēšanas kritērijs organizējamā pakalpojuma sniedzēja izvēles procesā. Turklāt, piesaistot PGP pakalpojuma cenu pie universālā pakalpojuma dubultās cenas, potenciālajam PGP pakalpojuma sniedzējam papildus tiek izvirzīta obligāta prasība nodrošināt mājsaimniecību lietotājiem universālo pakalpojumu un tādējādi tirgot dabasgāzi mājsaimniecības </w:t>
      </w:r>
      <w:r w:rsidRPr="00340D01">
        <w:rPr>
          <w:shd w:val="clear" w:color="auto" w:fill="FFFFFF"/>
          <w:lang w:val="lv-LV"/>
        </w:rPr>
        <w:lastRenderedPageBreak/>
        <w:t xml:space="preserve">lietotājiem, kas nav samērīga prasība gadījumos, ja dabasgāzes tirgotājs specializējas tikai uz PGP pakalpojuma sniegšanu vai tirgo dabasgāzi tikai </w:t>
      </w:r>
      <w:proofErr w:type="spellStart"/>
      <w:r w:rsidRPr="00340D01">
        <w:rPr>
          <w:shd w:val="clear" w:color="auto" w:fill="FFFFFF"/>
          <w:lang w:val="lv-LV"/>
        </w:rPr>
        <w:t>nemājsaimniecības</w:t>
      </w:r>
      <w:proofErr w:type="spellEnd"/>
      <w:r w:rsidRPr="00340D01">
        <w:rPr>
          <w:shd w:val="clear" w:color="auto" w:fill="FFFFFF"/>
          <w:lang w:val="lv-LV"/>
        </w:rPr>
        <w:t xml:space="preserve"> lietotājiem, bet papildus ir gatavs uzņemties PGP pakalpojuma sniegšanu mājsaimniecības lietotājiem. Vienlaicīgi ir jāatzīmē, ka šobrīd mājsaimniecības PGP pakalpojuma klienti dominējošā vairākumā ir tikai gāzes plīts lietotāji, ar relatīvi niecīgu dabasgāzes patēriņu. Tas nozīmē, ka</w:t>
      </w:r>
      <w:r>
        <w:rPr>
          <w:shd w:val="clear" w:color="auto" w:fill="FFFFFF"/>
          <w:lang w:val="lv-LV"/>
        </w:rPr>
        <w:t>,</w:t>
      </w:r>
      <w:r w:rsidRPr="00340D01">
        <w:rPr>
          <w:shd w:val="clear" w:color="auto" w:fill="FFFFFF"/>
          <w:lang w:val="lv-LV"/>
        </w:rPr>
        <w:t xml:space="preserve"> piesaistot PGP pakalpojuma cenu pie dubultās universālā pakalpojuma cenas, šis pakalpojums brīva tirgus apstākļos kļūs nepievilcīgs vai pat neizdevīgs dabasgāzes tirgotājiem, jo administrēšanas izdevumi var pārsniegt ieņēmumu apmēru.</w:t>
      </w:r>
    </w:p>
    <w:p w14:paraId="3828B603" w14:textId="77777777" w:rsidR="00F6568F" w:rsidRPr="00340D01" w:rsidRDefault="00000000" w:rsidP="00F6568F">
      <w:pPr>
        <w:ind w:firstLine="709"/>
        <w:jc w:val="both"/>
        <w:rPr>
          <w:lang w:val="lv-LV"/>
        </w:rPr>
      </w:pPr>
      <w:r w:rsidRPr="00340D01">
        <w:rPr>
          <w:lang w:val="lv-LV"/>
        </w:rPr>
        <w:t xml:space="preserve">Ievērojot minēto, </w:t>
      </w:r>
      <w:proofErr w:type="spellStart"/>
      <w:r w:rsidRPr="00340D01">
        <w:rPr>
          <w:lang w:val="lv-LV"/>
        </w:rPr>
        <w:t>Gaso</w:t>
      </w:r>
      <w:proofErr w:type="spellEnd"/>
      <w:r w:rsidRPr="00340D01">
        <w:rPr>
          <w:lang w:val="lv-LV"/>
        </w:rPr>
        <w:t xml:space="preserve"> ierosina nepiesaistīt PGP pakalpojuma cenu mājsaimniecības lietotājiem pie universālā pakalpojuma</w:t>
      </w:r>
      <w:r>
        <w:rPr>
          <w:lang w:val="lv-LV"/>
        </w:rPr>
        <w:t xml:space="preserve"> cenas</w:t>
      </w:r>
      <w:r w:rsidRPr="00340D01">
        <w:rPr>
          <w:lang w:val="lv-LV"/>
        </w:rPr>
        <w:t>, bet rast iespēju tirgotājam to noteikt pašam brīva tirgus un konkurences apstākļos.</w:t>
      </w:r>
    </w:p>
    <w:p w14:paraId="0CDB63E4" w14:textId="77777777" w:rsidR="00F6568F" w:rsidRPr="00340D01" w:rsidRDefault="00000000" w:rsidP="00F6568F">
      <w:pPr>
        <w:ind w:firstLine="709"/>
        <w:jc w:val="both"/>
        <w:rPr>
          <w:lang w:val="lv-LV"/>
        </w:rPr>
      </w:pPr>
      <w:r w:rsidRPr="00340D01">
        <w:rPr>
          <w:lang w:val="lv-LV"/>
        </w:rPr>
        <w:t xml:space="preserve">4. Šī gada 8.marta starpinstitūciju sapulcē </w:t>
      </w:r>
      <w:proofErr w:type="spellStart"/>
      <w:r w:rsidRPr="00340D01">
        <w:rPr>
          <w:lang w:val="lv-LV"/>
        </w:rPr>
        <w:t>Gaso</w:t>
      </w:r>
      <w:proofErr w:type="spellEnd"/>
      <w:r w:rsidRPr="00340D01">
        <w:rPr>
          <w:lang w:val="lv-LV"/>
        </w:rPr>
        <w:t xml:space="preserve"> ir kļuvis zināms, ka dabasgāzes saņemšanai universālā pakalpojuma ietvaros lietotājam arī būs jāslēdz atsevišķais līgums. Lai novērstu pārpratumus tiesību normu piemērošanā, ierosinām šo nosacījumu atrunāt Noteikumu projektā.</w:t>
      </w:r>
    </w:p>
    <w:p w14:paraId="5793CA4A" w14:textId="77777777" w:rsidR="00F6568F" w:rsidRPr="00340D01" w:rsidRDefault="00000000" w:rsidP="00F6568F">
      <w:pPr>
        <w:ind w:firstLine="709"/>
        <w:jc w:val="both"/>
        <w:rPr>
          <w:lang w:val="lv-LV"/>
        </w:rPr>
      </w:pPr>
      <w:r w:rsidRPr="00340D01">
        <w:rPr>
          <w:lang w:val="lv-LV"/>
        </w:rPr>
        <w:t>Īpaši nozīmīgi tas ir kontekstā ar 177.</w:t>
      </w:r>
      <w:r w:rsidRPr="00340D01">
        <w:rPr>
          <w:vertAlign w:val="superscript"/>
          <w:lang w:val="lv-LV"/>
        </w:rPr>
        <w:t>1</w:t>
      </w:r>
      <w:r w:rsidRPr="00340D01">
        <w:rPr>
          <w:lang w:val="lv-LV"/>
        </w:rPr>
        <w:t xml:space="preserve"> punktu, kas paredz, ka gadījumos ja </w:t>
      </w:r>
      <w:r w:rsidRPr="00340D01">
        <w:rPr>
          <w:shd w:val="clear" w:color="auto" w:fill="FFFFFF"/>
          <w:lang w:val="lv-LV"/>
        </w:rPr>
        <w:t xml:space="preserve">mājsaimniecības lietotājam 2023. gada 1. maijā nav spēkā esošs dabasgāzes tirdzniecības līgums, šāds lietotājs saņem universālo pakalpojumu, kuru sniedz līdzšinējais dabasgāzes tirgotājs. Tas nozīmē, ka pēc 2023.gada 1.maija ievērojama mājsaimniecību lietotāju daļa, pretēji iepriekš minētam nosacījumam, saņems dabasgāzi universālā pakalpojuma ietvaros bez atsevišķi noslēgta līguma. Regulējuma precizitātes nodrošināšanai aicinām Noteikumu projektā </w:t>
      </w:r>
      <w:r>
        <w:rPr>
          <w:shd w:val="clear" w:color="auto" w:fill="FFFFFF"/>
          <w:lang w:val="lv-LV"/>
        </w:rPr>
        <w:t>noteikt</w:t>
      </w:r>
      <w:r w:rsidR="00525A9D">
        <w:rPr>
          <w:shd w:val="clear" w:color="auto" w:fill="FFFFFF"/>
          <w:lang w:val="lv-LV"/>
        </w:rPr>
        <w:t>,</w:t>
      </w:r>
      <w:r>
        <w:rPr>
          <w:shd w:val="clear" w:color="auto" w:fill="FFFFFF"/>
          <w:lang w:val="lv-LV"/>
        </w:rPr>
        <w:t xml:space="preserve"> ka </w:t>
      </w:r>
      <w:r w:rsidRPr="00340D01">
        <w:rPr>
          <w:shd w:val="clear" w:color="auto" w:fill="FFFFFF"/>
          <w:lang w:val="lv-LV"/>
        </w:rPr>
        <w:t>iepriekš minētie lietotāji</w:t>
      </w:r>
      <w:r w:rsidR="00525A9D">
        <w:rPr>
          <w:shd w:val="clear" w:color="auto" w:fill="FFFFFF"/>
          <w:lang w:val="lv-LV"/>
        </w:rPr>
        <w:t>,</w:t>
      </w:r>
      <w:r w:rsidRPr="00340D01">
        <w:rPr>
          <w:shd w:val="clear" w:color="auto" w:fill="FFFFFF"/>
          <w:lang w:val="lv-LV"/>
        </w:rPr>
        <w:t xml:space="preserve"> saņem</w:t>
      </w:r>
      <w:r>
        <w:rPr>
          <w:shd w:val="clear" w:color="auto" w:fill="FFFFFF"/>
          <w:lang w:val="lv-LV"/>
        </w:rPr>
        <w:t>ot</w:t>
      </w:r>
      <w:r w:rsidRPr="00340D01">
        <w:rPr>
          <w:shd w:val="clear" w:color="auto" w:fill="FFFFFF"/>
          <w:lang w:val="lv-LV"/>
        </w:rPr>
        <w:t xml:space="preserve"> dabasgāzi universāl</w:t>
      </w:r>
      <w:r w:rsidR="00525A9D">
        <w:rPr>
          <w:shd w:val="clear" w:color="auto" w:fill="FFFFFF"/>
          <w:lang w:val="lv-LV"/>
        </w:rPr>
        <w:t>ā</w:t>
      </w:r>
      <w:r w:rsidRPr="00340D01">
        <w:rPr>
          <w:shd w:val="clear" w:color="auto" w:fill="FFFFFF"/>
          <w:lang w:val="lv-LV"/>
        </w:rPr>
        <w:t xml:space="preserve"> pakalpojuma ietvaros</w:t>
      </w:r>
      <w:r>
        <w:rPr>
          <w:shd w:val="clear" w:color="auto" w:fill="FFFFFF"/>
          <w:lang w:val="lv-LV"/>
        </w:rPr>
        <w:t xml:space="preserve"> no 2023.gada 1.maija</w:t>
      </w:r>
      <w:r w:rsidR="00525A9D">
        <w:rPr>
          <w:shd w:val="clear" w:color="auto" w:fill="FFFFFF"/>
          <w:lang w:val="lv-LV"/>
        </w:rPr>
        <w:t>,</w:t>
      </w:r>
      <w:r>
        <w:rPr>
          <w:shd w:val="clear" w:color="auto" w:fill="FFFFFF"/>
          <w:lang w:val="lv-LV"/>
        </w:rPr>
        <w:t xml:space="preserve"> pēc noklusējuma kvalificējas beztermiņa universālā pakalpojuma līgumam. Turpmākajā periodā ma</w:t>
      </w:r>
      <w:r w:rsidR="00525A9D">
        <w:rPr>
          <w:shd w:val="clear" w:color="auto" w:fill="FFFFFF"/>
          <w:lang w:val="lv-LV"/>
        </w:rPr>
        <w:t>i</w:t>
      </w:r>
      <w:r>
        <w:rPr>
          <w:shd w:val="clear" w:color="auto" w:fill="FFFFFF"/>
          <w:lang w:val="lv-LV"/>
        </w:rPr>
        <w:t>nās tikai tirgotāja noteiktā cena nākamajam 6 mēnešu periodam vai Lietotājs izvēlās citu jebkura tirgotāja produktu, noslēdzot jaunu dabasgāzes tirdzniecības līgumu</w:t>
      </w:r>
      <w:r w:rsidRPr="00340D01">
        <w:rPr>
          <w:shd w:val="clear" w:color="auto" w:fill="FFFFFF"/>
          <w:lang w:val="lv-LV"/>
        </w:rPr>
        <w:t>.</w:t>
      </w:r>
    </w:p>
    <w:p w14:paraId="5BC45604" w14:textId="77777777" w:rsidR="00F6568F" w:rsidRPr="00340D01" w:rsidRDefault="00000000" w:rsidP="00F6568F">
      <w:pPr>
        <w:ind w:firstLine="709"/>
        <w:jc w:val="both"/>
        <w:rPr>
          <w:lang w:val="lv-LV"/>
        </w:rPr>
      </w:pPr>
      <w:r w:rsidRPr="00340D01">
        <w:rPr>
          <w:lang w:val="lv-LV"/>
        </w:rPr>
        <w:t>5. Aicinām precizēt Noteikumu projektā paredzēto 105.7.apakšpunkta redakciju divu iemeslu dēļ:</w:t>
      </w:r>
    </w:p>
    <w:p w14:paraId="1624CF31" w14:textId="77777777" w:rsidR="00F6568F" w:rsidRPr="00340D01" w:rsidRDefault="00000000" w:rsidP="00F6568F">
      <w:pPr>
        <w:ind w:firstLine="709"/>
        <w:jc w:val="both"/>
        <w:rPr>
          <w:lang w:val="lv-LV"/>
        </w:rPr>
      </w:pPr>
      <w:r w:rsidRPr="00340D01">
        <w:rPr>
          <w:lang w:val="lv-LV"/>
        </w:rPr>
        <w:t>Pirmkārt, ir jāsvītro vārdi “</w:t>
      </w:r>
      <w:r w:rsidRPr="00340D01">
        <w:rPr>
          <w:shd w:val="clear" w:color="auto" w:fill="FFFFFF"/>
          <w:lang w:val="lv-LV"/>
        </w:rPr>
        <w:t>universālā pakalpojuma vai</w:t>
      </w:r>
      <w:r w:rsidRPr="00340D01">
        <w:rPr>
          <w:lang w:val="lv-LV"/>
        </w:rPr>
        <w:t>”, jo tas rada kļūdain</w:t>
      </w:r>
      <w:r>
        <w:rPr>
          <w:lang w:val="lv-LV"/>
        </w:rPr>
        <w:t>u</w:t>
      </w:r>
      <w:r w:rsidRPr="00340D01">
        <w:rPr>
          <w:lang w:val="lv-LV"/>
        </w:rPr>
        <w:t xml:space="preserve"> priekš</w:t>
      </w:r>
      <w:r>
        <w:rPr>
          <w:lang w:val="lv-LV"/>
        </w:rPr>
        <w:t>s</w:t>
      </w:r>
      <w:r w:rsidRPr="00340D01">
        <w:rPr>
          <w:lang w:val="lv-LV"/>
        </w:rPr>
        <w:t>tatu, ka universālā pakalpojuma saņemšanai nav nepieciešams slēgt līgumu.</w:t>
      </w:r>
    </w:p>
    <w:p w14:paraId="1D2D4852" w14:textId="77777777" w:rsidR="00F6568F" w:rsidRPr="00340D01" w:rsidRDefault="00000000" w:rsidP="00F6568F">
      <w:pPr>
        <w:ind w:firstLine="709"/>
        <w:jc w:val="both"/>
        <w:rPr>
          <w:lang w:val="lv-LV"/>
        </w:rPr>
      </w:pPr>
      <w:r w:rsidRPr="00340D01">
        <w:rPr>
          <w:lang w:val="lv-LV"/>
        </w:rPr>
        <w:t>Otrkārt, minētais apakšpunkts pirms semikola ir papildināms ar vārdiem “izņemot gadījumu, ja pēdējās garantētās piegādes pakalpojums tiek nodrošināts šo noteikumu 64.2.apakšpunktā atrunātajā gadījumā”, jo pie pašreizējās redakcijas veidojās “normatīvā apļa kļūda”, tas ir</w:t>
      </w:r>
      <w:r>
        <w:rPr>
          <w:lang w:val="lv-LV"/>
        </w:rPr>
        <w:t>,</w:t>
      </w:r>
      <w:r w:rsidRPr="00340D01">
        <w:rPr>
          <w:lang w:val="lv-LV"/>
        </w:rPr>
        <w:t xml:space="preserve"> klients saņem dabasgāzi PGP pakalpojuma ietvaros, jo nav nodrošinājis apstākļus dabasgāzes atslēgšanai, bet, kad radusies atslēgšanas iespēja (sadales sistēmas operators iekļūst objektā), piegādes pārtraukšana nav pieļaujama, jo klients saņem dabasgāzi PGP pakalpojuma ietvaros.</w:t>
      </w:r>
    </w:p>
    <w:p w14:paraId="6D3C2A22" w14:textId="77777777" w:rsidR="00F6568F" w:rsidRPr="00340D01" w:rsidRDefault="00000000" w:rsidP="00F6568F">
      <w:pPr>
        <w:ind w:firstLine="709"/>
        <w:jc w:val="both"/>
        <w:rPr>
          <w:lang w:val="lv-LV"/>
        </w:rPr>
      </w:pPr>
      <w:r w:rsidRPr="00340D01">
        <w:rPr>
          <w:lang w:val="lv-LV"/>
        </w:rPr>
        <w:t xml:space="preserve">6. Tiesību normu piemērošanas pārpratumu novēršanas nolūkos </w:t>
      </w:r>
      <w:proofErr w:type="spellStart"/>
      <w:r w:rsidRPr="00340D01">
        <w:rPr>
          <w:lang w:val="lv-LV"/>
        </w:rPr>
        <w:t>Gaso</w:t>
      </w:r>
      <w:proofErr w:type="spellEnd"/>
      <w:r w:rsidRPr="00340D01">
        <w:rPr>
          <w:lang w:val="lv-LV"/>
        </w:rPr>
        <w:t xml:space="preserve"> aicina svītrot Noteikumu 168.punktā noslēguma daļā vārdus pēc komata “ja dabasgāzes tirdzniecības līgumā nav noteikts citādi”, jo dabasgāzes tirgotājs savā līgumā nevar noteikt patērētās dabasgāzes noteikšanas kārtību, gadījumos, ja dabasgāzes </w:t>
      </w:r>
      <w:proofErr w:type="spellStart"/>
      <w:r w:rsidRPr="00340D01">
        <w:rPr>
          <w:lang w:val="lv-LV"/>
        </w:rPr>
        <w:t>komercuzskaites</w:t>
      </w:r>
      <w:proofErr w:type="spellEnd"/>
      <w:r w:rsidRPr="00340D01">
        <w:rPr>
          <w:lang w:val="lv-LV"/>
        </w:rPr>
        <w:t xml:space="preserve"> mēraparāts nav piemērots patērējamās dabasgāzes plūsmai. Šāda rakstura jautājuma noregulēšana ir tikai Ministru kabineta kompetencē.</w:t>
      </w:r>
    </w:p>
    <w:p w14:paraId="38294AF8" w14:textId="77777777" w:rsidR="00F6568F" w:rsidRPr="00340D01" w:rsidRDefault="00000000" w:rsidP="00F6568F">
      <w:pPr>
        <w:ind w:firstLine="709"/>
        <w:jc w:val="both"/>
        <w:rPr>
          <w:lang w:val="lv-LV"/>
        </w:rPr>
      </w:pPr>
      <w:r w:rsidRPr="00340D01">
        <w:rPr>
          <w:lang w:val="lv-LV"/>
        </w:rPr>
        <w:t xml:space="preserve">7. </w:t>
      </w:r>
      <w:proofErr w:type="spellStart"/>
      <w:r w:rsidRPr="00340D01">
        <w:rPr>
          <w:lang w:val="lv-LV"/>
        </w:rPr>
        <w:t>Gaso</w:t>
      </w:r>
      <w:proofErr w:type="spellEnd"/>
      <w:r w:rsidRPr="00340D01">
        <w:rPr>
          <w:lang w:val="lv-LV"/>
        </w:rPr>
        <w:t xml:space="preserve"> vērš uzmanību uz to, ka Noteikumu pašlaik spēkā esošajā redakcijā iekļauts neprecīzs regulējums, kas dažreiz rada maldīgu priekšstatu, ka par skaitītāju rādījumu savākšanu ir atbildīgs sadales sistēmas operators. Šāds priekšstats ir vērtējams kā nepareizs, jo neatbilst tiesiskajām attiecībām, kas nodibinātas dabasgāzes saņemšanai. Vēršam uzmanību uz to, ka </w:t>
      </w:r>
      <w:proofErr w:type="spellStart"/>
      <w:r w:rsidRPr="00340D01">
        <w:rPr>
          <w:lang w:val="lv-LV"/>
        </w:rPr>
        <w:t>Gaso</w:t>
      </w:r>
      <w:proofErr w:type="spellEnd"/>
      <w:r w:rsidRPr="00340D01">
        <w:rPr>
          <w:lang w:val="lv-LV"/>
        </w:rPr>
        <w:t xml:space="preserve"> neslēdz dabasgāzes tirdzniecības līgumus ar galalietotājiem, līdz ar to </w:t>
      </w:r>
      <w:proofErr w:type="spellStart"/>
      <w:r w:rsidRPr="00340D01">
        <w:rPr>
          <w:lang w:val="lv-LV"/>
        </w:rPr>
        <w:t>Gaso</w:t>
      </w:r>
      <w:proofErr w:type="spellEnd"/>
      <w:r w:rsidRPr="00340D01">
        <w:rPr>
          <w:lang w:val="lv-LV"/>
        </w:rPr>
        <w:t xml:space="preserve"> rīcībā nav informācijas par dabasgāzes patieso lietotāju konkrētajā gazificētajā objektā. Tai pašā laikā dabasgāzes </w:t>
      </w:r>
      <w:r>
        <w:rPr>
          <w:lang w:val="lv-LV"/>
        </w:rPr>
        <w:t>s</w:t>
      </w:r>
      <w:r w:rsidRPr="00340D01">
        <w:rPr>
          <w:lang w:val="lv-LV"/>
        </w:rPr>
        <w:t xml:space="preserve">kaitītāja precīza rādījuma regulārai saņemšanai ir nepieciešama tiešā komunikācija ar patieso dabasgāzes lietotāju, ko </w:t>
      </w:r>
      <w:proofErr w:type="spellStart"/>
      <w:r w:rsidRPr="00340D01">
        <w:rPr>
          <w:lang w:val="lv-LV"/>
        </w:rPr>
        <w:t>Gaso</w:t>
      </w:r>
      <w:proofErr w:type="spellEnd"/>
      <w:r w:rsidRPr="00340D01">
        <w:rPr>
          <w:lang w:val="lv-LV"/>
        </w:rPr>
        <w:t xml:space="preserve"> iepriekš aprakstīto iemeslu dēļ realizēt nevar. Papildus norādām, ka Eiropas </w:t>
      </w:r>
      <w:proofErr w:type="spellStart"/>
      <w:r w:rsidRPr="00340D01">
        <w:rPr>
          <w:lang w:val="lv-LV"/>
        </w:rPr>
        <w:t>Energoregulatoru</w:t>
      </w:r>
      <w:proofErr w:type="spellEnd"/>
      <w:r w:rsidRPr="00340D01">
        <w:rPr>
          <w:lang w:val="lv-LV"/>
        </w:rPr>
        <w:t xml:space="preserve"> padomes (CEER) Sadales sistēmu darba grupas 2019.gada 22.marta secinājumu dokumentā par jauniem pakalpojumiem un sadales sistēmas operatoru iesaisti ir īpaši izcelta tieši piegādātāja (tirgotāja) loma komunikācijā ar gala lietotajiem, atvēlot sadales sistēmas operatoram tikai atbalsta funkciju konsolidētā pakalpojuma sniegšanā.</w:t>
      </w:r>
    </w:p>
    <w:p w14:paraId="232DE63C" w14:textId="77777777" w:rsidR="00F6568F" w:rsidRPr="00340D01" w:rsidRDefault="00000000" w:rsidP="00F6568F">
      <w:pPr>
        <w:ind w:firstLine="709"/>
        <w:jc w:val="both"/>
        <w:rPr>
          <w:lang w:val="lv-LV"/>
        </w:rPr>
      </w:pPr>
      <w:proofErr w:type="spellStart"/>
      <w:r w:rsidRPr="00340D01">
        <w:rPr>
          <w:lang w:val="lv-LV"/>
        </w:rPr>
        <w:t>Gaso</w:t>
      </w:r>
      <w:proofErr w:type="spellEnd"/>
      <w:r w:rsidRPr="00340D01">
        <w:rPr>
          <w:lang w:val="lv-LV"/>
        </w:rPr>
        <w:t xml:space="preserve"> pieejamā (Ministru kabineta tīmekļa vietnē nopublicētajā) Noteikumu projekta versijā iepriekš aprakstītā problēma tiek risināta </w:t>
      </w:r>
      <w:proofErr w:type="spellStart"/>
      <w:r w:rsidRPr="00340D01">
        <w:rPr>
          <w:lang w:val="lv-LV"/>
        </w:rPr>
        <w:t>Gaso</w:t>
      </w:r>
      <w:proofErr w:type="spellEnd"/>
      <w:r w:rsidRPr="00340D01">
        <w:rPr>
          <w:lang w:val="lv-LV"/>
        </w:rPr>
        <w:t xml:space="preserve"> atbalstāmā virzienā. Tai pašā laikā šī gada 8.marta </w:t>
      </w:r>
      <w:r w:rsidRPr="00340D01">
        <w:rPr>
          <w:lang w:val="lv-LV"/>
        </w:rPr>
        <w:lastRenderedPageBreak/>
        <w:t xml:space="preserve">starpinstitūciju sapulcē atsevišķi diskusijas dalībnieki izteica bažas, ka jauna regulējuma rezultātā lietotāja paziņotais skaitītāja rādījums iegūs augstāku ticamības pakāpi par sadales sistēmas operatora fiksēto gazificētā objekta apmeklēšanas laikā. Lai novērstu interpretācijas pārpratumus, </w:t>
      </w:r>
      <w:proofErr w:type="spellStart"/>
      <w:r w:rsidRPr="00340D01">
        <w:rPr>
          <w:lang w:val="lv-LV"/>
        </w:rPr>
        <w:t>Gaso</w:t>
      </w:r>
      <w:proofErr w:type="spellEnd"/>
      <w:r w:rsidRPr="00340D01">
        <w:rPr>
          <w:lang w:val="lv-LV"/>
        </w:rPr>
        <w:t xml:space="preserve"> ierosina 154., 155. un 170.punktā svītrot vārdus “</w:t>
      </w:r>
      <w:r w:rsidRPr="00340D01">
        <w:rPr>
          <w:shd w:val="clear" w:color="auto" w:fill="FFFFFF"/>
          <w:lang w:val="lv-LV"/>
        </w:rPr>
        <w:t>dabasgāzes lietotāja paziņotais</w:t>
      </w:r>
      <w:r w:rsidRPr="00340D01">
        <w:rPr>
          <w:lang w:val="lv-LV"/>
        </w:rPr>
        <w:t>” (attiecīgajā locījumā), šādā veidā novēršot iespēju kļūdaini interpretēt piedāvāto regulējumu.</w:t>
      </w:r>
    </w:p>
    <w:p w14:paraId="32E652FB" w14:textId="77777777" w:rsidR="00F6568F" w:rsidRPr="00525A9D" w:rsidRDefault="00000000" w:rsidP="00F6568F">
      <w:pPr>
        <w:ind w:firstLine="709"/>
        <w:jc w:val="both"/>
        <w:rPr>
          <w:lang w:val="lv-LV"/>
        </w:rPr>
      </w:pPr>
      <w:r w:rsidRPr="00340D01">
        <w:rPr>
          <w:lang w:val="lv-LV"/>
        </w:rPr>
        <w:t>8</w:t>
      </w:r>
      <w:r w:rsidRPr="00525A9D">
        <w:rPr>
          <w:lang w:val="lv-LV"/>
        </w:rPr>
        <w:t>. Noteikumu projekta 177.</w:t>
      </w:r>
      <w:r w:rsidRPr="00525A9D">
        <w:rPr>
          <w:vertAlign w:val="superscript"/>
          <w:lang w:val="lv-LV"/>
        </w:rPr>
        <w:t>2</w:t>
      </w:r>
      <w:r w:rsidRPr="00525A9D">
        <w:rPr>
          <w:lang w:val="lv-LV"/>
        </w:rPr>
        <w:t xml:space="preserve"> punkts paredz, ka </w:t>
      </w:r>
      <w:r w:rsidRPr="00525A9D">
        <w:rPr>
          <w:shd w:val="clear" w:color="auto" w:fill="FFFFFF"/>
          <w:lang w:val="lv-LV"/>
        </w:rPr>
        <w:t xml:space="preserve">mājsaimniecību lietotājiem, kas līdz 2023.gada 30.aprīlim saņem pēdējās garantētās piegādes pakalpojumu, no 2023.gada 1.maija to turpina sniegt dabasgāzes tirgotājs, kas mājsaimniecības lietotājam līdz 2023.gada 30.aprīlim nodrošinājis pēdējās garantētās piegādes pakalpojumu. </w:t>
      </w:r>
      <w:proofErr w:type="spellStart"/>
      <w:r w:rsidRPr="00525A9D">
        <w:rPr>
          <w:shd w:val="clear" w:color="auto" w:fill="FFFFFF"/>
          <w:lang w:val="lv-LV"/>
        </w:rPr>
        <w:t>Gaso</w:t>
      </w:r>
      <w:proofErr w:type="spellEnd"/>
      <w:r w:rsidRPr="00525A9D">
        <w:rPr>
          <w:shd w:val="clear" w:color="auto" w:fill="FFFFFF"/>
          <w:lang w:val="lv-LV"/>
        </w:rPr>
        <w:t xml:space="preserve"> skatījumā piedāvātais regulējums nav pietiekami precīzs, jo nenosaka cik ilgi šo pakalpojumu turpina sniegt dabasgāzes tirgotājs. Tiesību normas precizitātes nodrošināšanas nolūkā, ierosinām papildināt šo normu, nosakot, ka PGP pakalpojums tiek sniegts līdz tirdzniecības līguma noslēgšanai vai dabasgāzes piegādes pārtraukšanai attiecīgajā gazificētajā objektā.</w:t>
      </w:r>
    </w:p>
    <w:p w14:paraId="490A3017" w14:textId="77777777" w:rsidR="00F6568F" w:rsidRDefault="00F6568F" w:rsidP="00F6568F">
      <w:pPr>
        <w:ind w:firstLine="709"/>
        <w:jc w:val="both"/>
        <w:rPr>
          <w:lang w:val="lv-LV"/>
        </w:rPr>
      </w:pPr>
    </w:p>
    <w:p w14:paraId="26E3B215" w14:textId="77777777" w:rsidR="00F6568F" w:rsidRPr="00C929B2" w:rsidRDefault="00F6568F" w:rsidP="00F6568F">
      <w:pPr>
        <w:ind w:firstLine="709"/>
        <w:jc w:val="both"/>
        <w:rPr>
          <w:lang w:val="lv-LV"/>
        </w:rPr>
      </w:pPr>
    </w:p>
    <w:p w14:paraId="08338D4C" w14:textId="77777777" w:rsidR="00F6568F" w:rsidRDefault="00F6568F" w:rsidP="00F6568F">
      <w:pPr>
        <w:ind w:firstLine="709"/>
        <w:jc w:val="both"/>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5"/>
      </w:tblGrid>
      <w:tr w:rsidR="00FA6757" w14:paraId="2C73212A" w14:textId="77777777" w:rsidTr="009F78C8">
        <w:tc>
          <w:tcPr>
            <w:tcW w:w="4957" w:type="dxa"/>
            <w:hideMark/>
          </w:tcPr>
          <w:p w14:paraId="3CC062E5" w14:textId="77777777" w:rsidR="00F6568F" w:rsidRDefault="00F6568F" w:rsidP="00D21119">
            <w:pPr>
              <w:pStyle w:val="BodyB"/>
              <w:rPr>
                <w:rFonts w:cs="Times New Roman"/>
              </w:rPr>
            </w:pPr>
          </w:p>
          <w:p w14:paraId="3B9EAD34" w14:textId="77777777" w:rsidR="00014E41" w:rsidRDefault="00000000" w:rsidP="009F78C8">
            <w:pPr>
              <w:pStyle w:val="BodyB"/>
              <w:ind w:left="-100"/>
              <w:rPr>
                <w:rFonts w:cs="Times New Roman"/>
              </w:rPr>
            </w:pPr>
            <w:r>
              <w:rPr>
                <w:rFonts w:cs="Times New Roman"/>
              </w:rPr>
              <w:t>Komercpilnvarnieks</w:t>
            </w:r>
          </w:p>
          <w:p w14:paraId="51677EB4" w14:textId="77777777" w:rsidR="00014E41" w:rsidRDefault="00000000" w:rsidP="009F78C8">
            <w:pPr>
              <w:pStyle w:val="BodyB"/>
              <w:ind w:left="-100"/>
              <w:rPr>
                <w:rFonts w:cs="Times New Roman"/>
              </w:rPr>
            </w:pPr>
            <w:r>
              <w:rPr>
                <w:rFonts w:cs="Times New Roman"/>
                <w:noProof/>
              </w:rPr>
              <w:t>Valdes loceklis</w:t>
            </w:r>
          </w:p>
        </w:tc>
        <w:tc>
          <w:tcPr>
            <w:tcW w:w="4665" w:type="dxa"/>
          </w:tcPr>
          <w:p w14:paraId="0A749EEE" w14:textId="77777777" w:rsidR="00014E41" w:rsidRDefault="00014E41" w:rsidP="009F78C8">
            <w:pPr>
              <w:pStyle w:val="BodyB"/>
              <w:jc w:val="right"/>
              <w:rPr>
                <w:rFonts w:cs="Times New Roman"/>
              </w:rPr>
            </w:pPr>
          </w:p>
          <w:p w14:paraId="3701B447" w14:textId="77777777" w:rsidR="00D21119" w:rsidRDefault="00D21119" w:rsidP="009F78C8">
            <w:pPr>
              <w:pStyle w:val="BodyB"/>
              <w:jc w:val="right"/>
              <w:rPr>
                <w:rFonts w:cs="Times New Roman"/>
                <w:noProof/>
              </w:rPr>
            </w:pPr>
          </w:p>
          <w:p w14:paraId="576DDAE3" w14:textId="77777777" w:rsidR="00014E41" w:rsidRDefault="00000000" w:rsidP="00D21119">
            <w:pPr>
              <w:pStyle w:val="BodyB"/>
              <w:rPr>
                <w:rFonts w:cs="Times New Roman"/>
              </w:rPr>
            </w:pPr>
            <w:r>
              <w:rPr>
                <w:rFonts w:cs="Times New Roman"/>
                <w:noProof/>
              </w:rPr>
              <w:t xml:space="preserve">                                     </w:t>
            </w:r>
            <w:r w:rsidR="00F6568F">
              <w:rPr>
                <w:rFonts w:cs="Times New Roman"/>
                <w:noProof/>
              </w:rPr>
              <w:t>Joahims Hokerts</w:t>
            </w:r>
          </w:p>
        </w:tc>
      </w:tr>
      <w:tr w:rsidR="00FA6757" w14:paraId="4B4B0184" w14:textId="77777777" w:rsidTr="009F78C8">
        <w:tc>
          <w:tcPr>
            <w:tcW w:w="9622" w:type="dxa"/>
            <w:gridSpan w:val="2"/>
          </w:tcPr>
          <w:p w14:paraId="57CC14E9" w14:textId="77777777" w:rsidR="00014E41" w:rsidRPr="00A03ED0" w:rsidRDefault="00000000" w:rsidP="009F78C8">
            <w:pPr>
              <w:pStyle w:val="BodyB"/>
              <w:spacing w:before="360" w:after="360"/>
              <w:jc w:val="center"/>
              <w:rPr>
                <w:rFonts w:cs="Times New Roman"/>
                <w:sz w:val="20"/>
                <w:szCs w:val="20"/>
              </w:rPr>
            </w:pPr>
            <w:r>
              <w:rPr>
                <w:rFonts w:cs="Times New Roman"/>
                <w:sz w:val="20"/>
                <w:szCs w:val="20"/>
              </w:rPr>
              <w:t>DOKUMENTS PARAKSTĪTS AR DROŠU ELEKTRONISKO PARAKSTU UN SATUR LAIKA ZĪMOGU</w:t>
            </w:r>
          </w:p>
        </w:tc>
      </w:tr>
      <w:tr w:rsidR="00FA6757" w14:paraId="4E11E29D" w14:textId="77777777" w:rsidTr="009F78C8">
        <w:tc>
          <w:tcPr>
            <w:tcW w:w="9622" w:type="dxa"/>
            <w:gridSpan w:val="2"/>
          </w:tcPr>
          <w:p w14:paraId="1785FAC0" w14:textId="77777777" w:rsidR="00014E41" w:rsidRDefault="00000000" w:rsidP="009F78C8">
            <w:pPr>
              <w:pStyle w:val="BodyB"/>
              <w:ind w:left="-100"/>
              <w:jc w:val="both"/>
              <w:rPr>
                <w:rFonts w:cs="Times New Roman"/>
                <w:sz w:val="20"/>
                <w:szCs w:val="20"/>
              </w:rPr>
            </w:pPr>
            <w:r>
              <w:rPr>
                <w:rFonts w:cs="Times New Roman"/>
                <w:noProof/>
                <w:sz w:val="20"/>
                <w:szCs w:val="20"/>
              </w:rPr>
              <w:t>Andris Lācis</w:t>
            </w:r>
            <w:r>
              <w:rPr>
                <w:rFonts w:cs="Times New Roman"/>
                <w:sz w:val="20"/>
                <w:szCs w:val="20"/>
              </w:rPr>
              <w:t xml:space="preserve"> </w:t>
            </w:r>
            <w:r>
              <w:rPr>
                <w:rFonts w:cs="Times New Roman"/>
                <w:noProof/>
                <w:sz w:val="20"/>
                <w:szCs w:val="20"/>
              </w:rPr>
              <w:t>67041653</w:t>
            </w:r>
          </w:p>
          <w:p w14:paraId="09F14A68" w14:textId="77777777" w:rsidR="00014E41" w:rsidRDefault="00000000" w:rsidP="009F78C8">
            <w:pPr>
              <w:pStyle w:val="BodyB"/>
              <w:ind w:left="-100"/>
              <w:jc w:val="both"/>
              <w:rPr>
                <w:rFonts w:cs="Times New Roman"/>
                <w:sz w:val="20"/>
                <w:szCs w:val="20"/>
              </w:rPr>
            </w:pPr>
            <w:r>
              <w:rPr>
                <w:rFonts w:cs="Times New Roman"/>
                <w:noProof/>
                <w:sz w:val="20"/>
                <w:szCs w:val="20"/>
              </w:rPr>
              <w:t>Andris.Lacis@gaso.lv</w:t>
            </w:r>
          </w:p>
          <w:p w14:paraId="08C0232B" w14:textId="77777777" w:rsidR="00014E41" w:rsidRDefault="00014E41" w:rsidP="009F78C8">
            <w:pPr>
              <w:pStyle w:val="BodyB"/>
              <w:rPr>
                <w:rFonts w:ascii="Calibri" w:hAnsi="Calibri" w:cs="Times New Roman"/>
                <w:sz w:val="16"/>
                <w:szCs w:val="16"/>
              </w:rPr>
            </w:pPr>
          </w:p>
        </w:tc>
      </w:tr>
    </w:tbl>
    <w:p w14:paraId="1F2F9181" w14:textId="77777777" w:rsidR="00B93D45" w:rsidRPr="00B93D45" w:rsidRDefault="00B93D45" w:rsidP="00014E41">
      <w:pPr>
        <w:rPr>
          <w:lang w:val="lv-LV"/>
        </w:rPr>
      </w:pPr>
    </w:p>
    <w:sectPr w:rsidR="00B93D45" w:rsidRPr="00B93D45" w:rsidSect="00B93D45">
      <w:headerReference w:type="first" r:id="rId6"/>
      <w:pgSz w:w="11900" w:h="16840" w:code="9"/>
      <w:pgMar w:top="1134" w:right="1134" w:bottom="1134"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A8E1" w14:textId="77777777" w:rsidR="00CE66E4" w:rsidRDefault="00CE66E4">
      <w:r>
        <w:separator/>
      </w:r>
    </w:p>
  </w:endnote>
  <w:endnote w:type="continuationSeparator" w:id="0">
    <w:p w14:paraId="104B47D3" w14:textId="77777777" w:rsidR="00CE66E4" w:rsidRDefault="00CE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E4EEA" w14:textId="77777777" w:rsidR="00CE66E4" w:rsidRDefault="00CE66E4">
      <w:r>
        <w:separator/>
      </w:r>
    </w:p>
  </w:footnote>
  <w:footnote w:type="continuationSeparator" w:id="0">
    <w:p w14:paraId="57C07367" w14:textId="77777777" w:rsidR="00CE66E4" w:rsidRDefault="00CE6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4BEE" w14:textId="77777777" w:rsidR="000064DB" w:rsidRDefault="00000000">
    <w:pPr>
      <w:pStyle w:val="Header"/>
    </w:pPr>
    <w:r>
      <w:rPr>
        <w:noProof/>
      </w:rPr>
      <w:drawing>
        <wp:anchor distT="0" distB="0" distL="114300" distR="114300" simplePos="0" relativeHeight="251658240" behindDoc="1" locked="1" layoutInCell="1" allowOverlap="1" wp14:anchorId="52EEA614" wp14:editId="286623E2">
          <wp:simplePos x="0" y="0"/>
          <wp:positionH relativeFrom="page">
            <wp:align>center</wp:align>
          </wp:positionH>
          <wp:positionV relativeFrom="page">
            <wp:align>top</wp:align>
          </wp:positionV>
          <wp:extent cx="7553325" cy="1543050"/>
          <wp:effectExtent l="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59"/>
    <w:rsid w:val="000064DB"/>
    <w:rsid w:val="00014E41"/>
    <w:rsid w:val="000607D7"/>
    <w:rsid w:val="00064AA3"/>
    <w:rsid w:val="000D5744"/>
    <w:rsid w:val="000F3A83"/>
    <w:rsid w:val="001245A9"/>
    <w:rsid w:val="001359CE"/>
    <w:rsid w:val="00255B51"/>
    <w:rsid w:val="002F7DA5"/>
    <w:rsid w:val="00340D01"/>
    <w:rsid w:val="00434A90"/>
    <w:rsid w:val="00443681"/>
    <w:rsid w:val="004D2D19"/>
    <w:rsid w:val="00525A9D"/>
    <w:rsid w:val="0075154F"/>
    <w:rsid w:val="007838F3"/>
    <w:rsid w:val="008454CF"/>
    <w:rsid w:val="00861259"/>
    <w:rsid w:val="008D64EC"/>
    <w:rsid w:val="009204D2"/>
    <w:rsid w:val="009F78C8"/>
    <w:rsid w:val="00A03ED0"/>
    <w:rsid w:val="00A37887"/>
    <w:rsid w:val="00B75E00"/>
    <w:rsid w:val="00B93D45"/>
    <w:rsid w:val="00B94E91"/>
    <w:rsid w:val="00BA3CFF"/>
    <w:rsid w:val="00C121FB"/>
    <w:rsid w:val="00C16B38"/>
    <w:rsid w:val="00C713D3"/>
    <w:rsid w:val="00C929B2"/>
    <w:rsid w:val="00CE66E4"/>
    <w:rsid w:val="00CF1CEA"/>
    <w:rsid w:val="00D21119"/>
    <w:rsid w:val="00E11AAE"/>
    <w:rsid w:val="00E33839"/>
    <w:rsid w:val="00F6568F"/>
    <w:rsid w:val="00FA6757"/>
    <w:rsid w:val="00FC5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966C7"/>
  <w15:chartTrackingRefBased/>
  <w15:docId w15:val="{4E9BCFAB-10C6-4C27-ABE2-3616A38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59"/>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45A9"/>
    <w:rPr>
      <w:rFonts w:ascii="Lucida Grande" w:hAnsi="Lucida Grande" w:cs="Lucida Grande"/>
      <w:sz w:val="18"/>
      <w:szCs w:val="18"/>
    </w:rPr>
  </w:style>
  <w:style w:type="character" w:customStyle="1" w:styleId="BalloonTextChar">
    <w:name w:val="Balloon Text Char"/>
    <w:basedOn w:val="DefaultParagraphFont"/>
    <w:link w:val="BalloonText"/>
    <w:semiHidden/>
    <w:rsid w:val="001245A9"/>
    <w:rPr>
      <w:rFonts w:ascii="Lucida Grande" w:hAnsi="Lucida Grande" w:cs="Lucida Grande"/>
      <w:sz w:val="18"/>
      <w:szCs w:val="18"/>
    </w:rPr>
  </w:style>
  <w:style w:type="paragraph" w:styleId="Header">
    <w:name w:val="header"/>
    <w:basedOn w:val="Normal"/>
    <w:link w:val="HeaderChar"/>
    <w:rsid w:val="00C713D3"/>
    <w:pPr>
      <w:tabs>
        <w:tab w:val="center" w:pos="4320"/>
        <w:tab w:val="right" w:pos="8640"/>
      </w:tabs>
    </w:pPr>
  </w:style>
  <w:style w:type="character" w:customStyle="1" w:styleId="HeaderChar">
    <w:name w:val="Header Char"/>
    <w:basedOn w:val="DefaultParagraphFont"/>
    <w:link w:val="Header"/>
    <w:rsid w:val="00C713D3"/>
    <w:rPr>
      <w:rFonts w:cs="Times New Roman"/>
    </w:rPr>
  </w:style>
  <w:style w:type="paragraph" w:styleId="Footer">
    <w:name w:val="footer"/>
    <w:basedOn w:val="Normal"/>
    <w:link w:val="FooterChar"/>
    <w:rsid w:val="00C713D3"/>
    <w:pPr>
      <w:tabs>
        <w:tab w:val="center" w:pos="4320"/>
        <w:tab w:val="right" w:pos="8640"/>
      </w:tabs>
    </w:pPr>
  </w:style>
  <w:style w:type="character" w:customStyle="1" w:styleId="FooterChar">
    <w:name w:val="Footer Char"/>
    <w:basedOn w:val="DefaultParagraphFont"/>
    <w:link w:val="Footer"/>
    <w:rsid w:val="00C713D3"/>
    <w:rPr>
      <w:rFonts w:cs="Times New Roman"/>
    </w:rPr>
  </w:style>
  <w:style w:type="paragraph" w:customStyle="1" w:styleId="BodyB">
    <w:name w:val="Body B"/>
    <w:rsid w:val="00861259"/>
    <w:pPr>
      <w:pBdr>
        <w:top w:val="nil"/>
        <w:left w:val="nil"/>
        <w:bottom w:val="nil"/>
        <w:right w:val="nil"/>
        <w:between w:val="nil"/>
        <w:bar w:val="nil"/>
      </w:pBdr>
    </w:pPr>
    <w:rPr>
      <w:rFonts w:ascii="Times New Roman" w:eastAsia="Arial Unicode MS" w:hAnsi="Times New Roman" w:cs="Arial Unicode MS"/>
      <w:color w:val="000000"/>
      <w:sz w:val="24"/>
      <w:szCs w:val="24"/>
      <w:u w:color="000000"/>
      <w:lang w:val="lv-LV" w:eastAsia="lv-LV"/>
    </w:rPr>
  </w:style>
  <w:style w:type="paragraph" w:customStyle="1" w:styleId="Default">
    <w:name w:val="Default"/>
    <w:rsid w:val="00861259"/>
    <w:pPr>
      <w:pBdr>
        <w:top w:val="nil"/>
        <w:left w:val="nil"/>
        <w:bottom w:val="nil"/>
        <w:right w:val="nil"/>
        <w:between w:val="nil"/>
        <w:bar w:val="nil"/>
      </w:pBdr>
    </w:pPr>
    <w:rPr>
      <w:rFonts w:ascii="Helvetica" w:eastAsia="Arial Unicode MS" w:hAnsi="Helvetica" w:cs="Arial Unicode MS"/>
      <w:color w:val="000000"/>
      <w:sz w:val="22"/>
      <w:szCs w:val="22"/>
      <w:u w:color="000000"/>
      <w:lang w:val="it-IT" w:eastAsia="lv-LV"/>
    </w:rPr>
  </w:style>
  <w:style w:type="table" w:styleId="TableGrid">
    <w:name w:val="Table Grid"/>
    <w:basedOn w:val="TableNormal"/>
    <w:uiPriority w:val="39"/>
    <w:rsid w:val="00064AA3"/>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5914</Words>
  <Characters>3371</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Agnese Līckrastiņa</cp:lastModifiedBy>
  <cp:revision>2</cp:revision>
  <cp:lastPrinted>1899-12-31T22:00:00Z</cp:lastPrinted>
  <dcterms:created xsi:type="dcterms:W3CDTF">2023-03-14T09:28:00Z</dcterms:created>
  <dcterms:modified xsi:type="dcterms:W3CDTF">2023-03-14T09:28:00Z</dcterms:modified>
</cp:coreProperties>
</file>