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147., 148. un 149.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Šā likuma 55</w:t>
            </w:r>
            <w:r w:rsidR="00000000" w:rsidRPr="00000000" w:rsidDel="00000000">
              <w:rPr>
                <w:vertAlign w:val="superscript"/>
                <w:rtl w:val="0"/>
              </w:rPr>
              <w:t xml:space="preserve">.2</w:t>
            </w:r>
            <w:r w:rsidR="00000000" w:rsidRPr="00000000" w:rsidDel="00000000">
              <w:rPr>
                <w:rtl w:val="0"/>
              </w:rPr>
              <w:t xml:space="preserve"> panta astotās daļas 12. punkts ir spēkā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Grozījums šā likuma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svītrot pārejas noteikumos minēto “149.” punktu, ņemot vērā, ka likumprojektā šāds punkts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informāciju, ka Studiju kvalitātes komisija, Akadēmiskais informācijas centrs, kā arī Izglītības un kvalitātes valsts dienests papildus pienākumus saistībā ar likumprojekta normu ieviešanu nodrošinās tiem piešķirtā finansējuma ietvaros un papildus finansējums minēto iestāžu darbības nodrošināšanai nebūs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17.07.2026.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17.07.2026.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Atzinumi_26-TA-1499.docx</dc:title>
</cp:coreProperties>
</file>

<file path=docProps/custom.xml><?xml version="1.0" encoding="utf-8"?>
<Properties xmlns="http://schemas.openxmlformats.org/officeDocument/2006/custom-properties" xmlns:vt="http://schemas.openxmlformats.org/officeDocument/2006/docPropsVTypes"/>
</file>