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Zivju nozvejas apjoma vai zvejas rīku skaita limitu rūpnieciskās zvejas tiesību nomniekam nosaka, ņemot vērā komerciālās zvejas vai pašpatēriņa zvejas veidu, nomnieka zvejas iespējas un šo noteikumu 71.</w:t>
            </w:r>
            <w:r w:rsidR="00000000" w:rsidRPr="00000000" w:rsidDel="00000000">
              <w:rPr>
                <w:vertAlign w:val="superscript"/>
                <w:rtl w:val="0"/>
              </w:rPr>
              <w:t xml:space="preserve">1</w:t>
            </w:r>
            <w:r w:rsidR="00000000" w:rsidRPr="00000000" w:rsidDel="00000000">
              <w:rPr>
                <w:rtl w:val="0"/>
              </w:rPr>
              <w:t xml:space="preserve"> un 71.</w:t>
            </w:r>
            <w:r w:rsidR="00000000" w:rsidRPr="00000000" w:rsidDel="00000000">
              <w:rPr>
                <w:vertAlign w:val="superscript"/>
                <w:rtl w:val="0"/>
              </w:rPr>
              <w:t xml:space="preserve">3</w:t>
            </w:r>
            <w:r w:rsidR="00000000" w:rsidRPr="00000000" w:rsidDel="00000000">
              <w:rPr>
                <w:rtl w:val="0"/>
              </w:rPr>
              <w:t xml:space="preserve"> punktā noteikto zvejas efektivitāti iepriekšējā zvejas tiesību izmantošanas termiņā, kā arī kopējo zvejas limita lielumu, zvejas tiesību nomnieku kopējo skaitu, Zvejniecības likumā zvejniekiem noteiktās priekšrocības. Ja rūpnieciskās zvejas tiesības iznomā pašpatēriņa zvejai, ievēro arī atbilstošajos rūpnieciskās zvejas noteikumos pašpatēriņa zvejai noteiktos zvejas limita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iepriekš izteikto iebildumu, vienlaikus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šajos Ministru kabineta noteikumos </w:t>
            </w:r>
            <w:r w:rsidR="00000000" w:rsidRPr="00000000" w:rsidDel="00000000">
              <w:rPr>
                <w:b w:val="1"/>
                <w:rtl w:val="0"/>
              </w:rPr>
              <w:t xml:space="preserve">neregulēt</w:t>
            </w:r>
            <w:r w:rsidR="00000000" w:rsidRPr="00000000" w:rsidDel="00000000">
              <w:rPr>
                <w:rtl w:val="0"/>
              </w:rPr>
              <w:t xml:space="preserve"> jautājumu par vietējo pašvaldību zvejnieku priekšrocībām, citiem zivsaimnieciskiem un reģionāliem faktoriem, nosakot zivju nozvejas apjoma vai zvejas rīku skaita limitu rūpnieciskās zvejas tiesību nomniekam, jo paredzētais neatbilst Ministru kabinetam dotajam pilnvarojumam, kas noteikts Zvejniecības likuma 7. panta piektajā daļā un 13. panta otrās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Pašvaldības dome,  konsultējoties ar zvejniekus pārstāvošajām nevalstiskajām organizācijām, kas darbojas tās administratīvajā teritorijā, nosaka tās administratīvajai teritorijai piegulošajos Baltijas jūras un Rīgas līča piekrastes ūdeņos un tās administratīvajā teritorijā esošajos iekšējos ūdeņos komerciālajai zvejai piešķiramo zvejas limitu sadales kārtību, kā arī kritērijus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paredzētais neatbilst Zvejniecības likuma 7. panta piektajai daļai, jo ūdenstilpju nomas un zvejas tiesību nomas un izmantošanas kārtību nosaka Ministru kabinets, nevis pašvaldība, kā arī Zvejniecības likuma 13. panta otrajai daļas 1. punktam, kas noteic, ka Ministru kabinets izdod noteikumus par ūdenstilpju un rūpnieciskās zvejas tiesību nomu un zvejas tiesību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pašvaldību tiesības izdot saistošos noteikumus ir jānosaka likumā. Nav pieļaujama likumā Ministru kabinetam piešķirtā pilnvarojuma tālāk deleģēšana pašvaldībām, ja vien likums to tieši un nepārprotami neparedz. Zvejniecības likuma normās šādas tiesības Ministru kabinetam nav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Nozvejas apjoma limitu, kas atbilstoši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punktam iedalīts rūpnieciskās zvejas tiesību nomniekiem (turpmāk – nomnieki) zvejai Baltijas jūras un Rīgas līča piekrastē, var savstarpēji mainīt, ja nomnieki attiecīgajā pašvaldībā ir iesnieguši abpusēju vienošanos par nozvejas apjoma limita apmaiņu vai nodošanu otram nomniekam. Piekrastes nomnieki nozvejas apjoma limitu var mainīt vai nodot tās piekrastes pašvaldības administratīvās teritorijas robežās, kura abiem nomniekiem ir iedalījusi atbilstošos nozvejas apjoma limitus, vai arī šāda apmaiņa var notikt starp nomniekiem no dažādām piekrastes pašvaldībām, kuras ir iedalījušas nozvejas apjoma limitus apmaiņā iesaistītajiem nomniekiem, ja šādai apmaiņai no abām pašvaldībām tiek saņemts saskaņojums par nozvejas apjoma limita apmaiņu. Konkrētā pašvaldība apmaiņu veikušo nomnieku rūpnieciskās zvejas tiesību nomas līgumu protokolos izdara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iepriekš izteikto iebildumu. Ministrijas ieskatā piedāvātā norma pārsniedz Ministru kabinetam doto pilnvarojumu, regulējot piešķirto tiesību tālāknodošanu nomnieku starpā.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līdz 40 gadu vecumam, kuru mērķis ir uzsākt saimniecisko darbību zvejniecībā kā komersanta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arī noteiktā kritērija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normatīvā akta tiesiskums nebūtu balstāms tikai uz valsts plānošanas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piemērot šo noteikumu 2.</w:t>
            </w:r>
            <w:r w:rsidR="00000000" w:rsidRPr="00000000" w:rsidDel="00000000">
              <w:rPr>
                <w:vertAlign w:val="superscript"/>
                <w:rtl w:val="0"/>
              </w:rPr>
              <w:t xml:space="preserve">1</w:t>
            </w:r>
            <w:r w:rsidR="00000000" w:rsidRPr="00000000" w:rsidDel="00000000">
              <w:rPr>
                <w:rtl w:val="0"/>
              </w:rPr>
              <w:t xml:space="preserve"> pielikuma II nodaļā norādīto zivju murda, zivju tīkla un reņģu, brētliņu un salaku tīkla limita maksas samazinājumu, kas nepārsniedz pusi no norādītās konkrētā zvejas rīka limita maksas, nomniekam, kas nodarbojas ar komercdarbību zvejniecībā tās administratīvās teritorijas jūras piekrastes ūdeņos, pēc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punktā minētās zvejas efektivitātes novērtējuma, kā arī ievērojot nomnieka iesniegtu pamatotu apliecinājumu (apliecinājumus) par roņu radītā zaudējuma gadījumu (gadījumiem) nomnieka nozvejai un zvejas rīkiem iepriekšējā rūpniecisko zvejas tiesību nomas gada laikā, ja to izlases veidā klātienē ir pārbaudījis un apstiprinājis pašvaldības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kārtība un prasības attiecībā uz normā minētajām pārbaudēm, kas ir valsts pārvaldes uzdevums, būtu nosakāma Ministru kabineta noteikumos nevis iestādes iekšējos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98.4. iepriekšējā nomas gadā stihiskas nelaimes gadījumā gājuši bojā nomnieka zvejas rīki vai peldošie līdzekļi un par šo faktu pašvaldībai ir iesniegts pamatots apliecinājums, vai arī šāds fakts ir atbilstoši norādīts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norādīto, ka nav noteiktības par to, kāpēc minētā norma paredz pašvaldībai tiesības, kuras pašvaldība var arī neīstenot. Ņemot vērā, ka pašvaldībai būs jāveic iesniegtās informācijas izvērtējums, aicinām precizēt, kādu informāciju ir jāsatur iesniegtajam pamatotajam apliecinājumam.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19.12.2025.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19.12.2025.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