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Pasākumā tiek noteiktas šādas atbalstāmās darbības, kas ietver investīcijas infrastruktūras izveidei, pārbūvei vai atjaunošanai, kā arī tās funkcionalitātes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projekta 25. un 26.punktu, korekti noteikumu projekta 26.punktā minot visas attiecināmās izmaksas. Vienlaikus attiecīgi lūdzam pārskatīt noteikumu projekta VI nodaļas punktos minētās atsauces uz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būvprojekta ekspertīzes, autoruzraudzības un būvuzraudzības (tai skaitā inženiertehniskās uzraudzības) izmaksas, ja ekspertīzes vai uzraudzības veikšanu nosaka būvniecības jomu regulējošie normatīvie akti;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piemērotu Regulu Nr. 651/2014, noteikumu projekta 26.2. apakšpunktā minētajām izmaksām ir jābūt iekļautām pamatlīdzekļu vērtībā, lūdzam papildināt noteikumu projekta 26.2. apakšpunktu ar šo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31.6. no saviem līdzekļiem sedz projekta īstenošanas gaitā radušos sadārdzinājumu un citas papildu izmaksas, ja tās saskaņotas atbilstoši šo noteikumu </w:t>
            </w:r>
            <w:r w:rsidR="00000000" w:rsidRPr="00000000" w:rsidDel="00000000">
              <w:rPr>
                <w:rtl w:val="0"/>
              </w:rPr>
              <w:t xml:space="preserve">26.10.</w:t>
            </w:r>
            <w:r w:rsidR="00000000" w:rsidRPr="00000000" w:rsidDel="00000000">
              <w:rPr>
                <w:rtl w:val="0"/>
              </w:rPr>
              <w:t xml:space="preserve"> apakšpunktam, nodrošinot piemērojamo komercdarbības atbalsta regulējuma normu ievērošanu;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sadārdzinājuma izmaksas projektā ir sedzamas no līdzekļiem, par kuriem nav saņemts jebkāds komercdarbības atbalsts, ja vien šīs izmaksas jau nav ietvertas sākotnēji piešķiramā atbalsta apjomā, ja atbalsts tiek sniegts saskaņā ar Regulu Nr. 651/2014, savukārt, ja atbalsts tiek sniegts saskaņā ar Eiropas Komisijas lēmuma Nr. 2012/21/ES nosacījumiem, neparedzētos izdevumus un rezerves izmaksas var segt piemērojot Eiropas Komisijas lēmuma Nr. 2012/21/ES nosacījumus. Attiecīgi lūdzam precizēt noteikumu projekta 31.6.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31.12. nodrošina atsevišķu grāmatvedības uzskaiti par finansējuma izlietojumu projektā, nodalot tā ietvaros veiktās darbības no citas saimnieciskās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jānodala darbības, kam atbalsts piešķirts ar EK lēmumu Nr. 2012/21/ES, no pārējās saimnieciskā darbības, t.sk., piemēram, no tās, kam atbalsta projekta ietvaros tiek sniegts ar Regulu 651/2014 lūdzam precizēt noteikumu projekta 31.12.apakšpunktu. Attiecīgi lūdzam papildināt ar skaidrojumu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Izmaksas ir attiecināmas no dienas, kad projekta iesniegums iesniegts sadarbības iestādē, izņemot šo noteikumu </w:t>
            </w:r>
            <w:r w:rsidR="00000000" w:rsidRPr="00000000" w:rsidDel="00000000">
              <w:rPr>
                <w:rtl w:val="0"/>
              </w:rPr>
              <w:t xml:space="preserve">26.1.</w:t>
            </w:r>
            <w:r w:rsidR="00000000" w:rsidRPr="00000000" w:rsidDel="00000000">
              <w:rPr>
                <w:rtl w:val="0"/>
              </w:rPr>
              <w:t xml:space="preserve"> apakšpunktā minētās izmaksas, kas ir attiecināmas no 2021.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atbalsta stimulējošās ietekmes prasību un būtu skaidrs, ka vienlaikus ir jāievēro arī noteikumu projekta 45. un 60. punkta prasības, lūdzam noteikumu projekta 33. punktā iekļaut atsauci uz noteikumu projekta 45. un 60.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 Komercdarbības atbalsta piešķiršanas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noteikumu projekta nosacījumu uztveramību un lai tās lietotājs un piemērotājs gūtu nepārprotamu priekšstatu par noteikumu projektā ietvertajiem pienākumiem un tiesībām, lūdzam sastrukturēt noteikumu projekta nosacījumus tā, lai ir skaidrs, kurām attiecināmajām izmaksām ar kuru komercdarbības atbalsta regulējumu tiek piešķirts atbalsts, pēc iespējas nodrošinot, ka komercdarbības atbalsta piešķiršanas nosacījumi, kas izriet no katra piemērojamā komercdarbības atbalsta regulējuma, ir norādīti vienkopus, līdzīgi, kā tas ir, piemēram, Ministru kabineta 2025. gada 7. janvāra noteikumos "Eiropas Savienības kohēzijas politikas programmas 2021.–2027. gadam 2.1.2. specifiskā atbalsta mērķa "Atjaunojamo energoresursu enerģijas veicināšana – biometāns"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noteikumu projektu tā, lai viennozīmīgi skaidrs, kuras no noteikumu projekta 26.punktā minētām dūņu centra izmaksām tiek segtas ar šajos noteikumu projektā iekļautajiem Komisijas regulas Nr. 651/2014 pantiem un kuras ar Eiropas Komisijas lēmumu Nr. 2012/21/ES. [AM1] Šobrīd noteikumu projekts paredz vienlaikus  26.1., 26.2., 26.4., 26.5., 26.6., 26.7. apakšpunktā norādītās izmaksas segt ar abiem komercdarbības atbalsta regulējumiem, kas nav iespējams. Skaidrojam, ka Eiropas Komisijas lēmumu Nr. 2012/21/ES piemēro kompensācijai par vispārējas tautsaimnieciskas nozīmes pakalpojumu (sk. skaidrojošos materiālus FM mājas lapā sadaļā "Par vispārējas tautsaimnieciskas nozīmes pakalpojumiem"), savukārt, Komisijas regulu Nr. 651/2014 piemēro atbalstam saimnieciskai darbībai, kas nav vispārējas tautsaimnieciskas nozīmes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Izejot no augstāk minētā, lūdzam veikt arī nepieciešamos precizējumus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Komercdarbības atbalsts saskaņā ar Regulas Nr. 651/2014 36.b pantu piešķir, ja ievēroti šādi Regulas Nr. 651/2014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Regulas Nr. 651/2014 36.b panta 5. punkta "a" un ''b'' apakšpunkts tiek piemērots tikai gadījumos, ja atbalstu piešķir konkurenci veicinošā konkursa procedūrā, savukārt, ja atbalstu piešķir, pamatojoties uz atbalsta shēmu, kas ir šīs programmas gadījums, ir piemērojamās Regulas Nr. 651/2014 36.b panta 6. punktā minētās atbalsta intensitātes, ievērojot Regulas Nr. 651/2014 36.b panta 2. un 3. punktā noteikto. Attiecīgi lūdzam precizēt noteikumu projektu, t.sk., iekļaujot attiecīgās normas, ko nosaka Regulas Nr. 651/2014 36.b panta 2., 3. un 6. punkts. Attiecīgi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Komercdarbības atbalsts saskaņā ar Regulas Nr. 651/2014 41. panta 10. punktu paredz 100% atbalsta intensitāti no attiecināmajām izmaksām infrastruktūras ieguldījumiem atjaunojamās enerģijas jomā, kas saistīta ar notekūdeņu dūņu pārstrādi, tostarp biogāzes (t.sk. biometāna) ieguves iekārtu iegādi un uzstādīšanu. Sniedzot atbalstu, jāievēro Regulas Nr. 651/2014 41. panta 1., 2. un 5. punkta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Regulas Nr. 651/2014 41. panta 10. punkts tiek piemērots tikai gadījumos, ja atbalstu piešķir konkurenci veicinošā konkursa procedūrā, savukārt, ja atbalstu piešķir, pamatojoties uz atbalsta shēmu, kas ir šīs programmas gadījums, ir piemērojamās Regulas Nr. 651/2014 41. panta 7. un 8. punktā minētās atbalsta intensitātes, kā arī ievērojot Regulas Nr. 651/2014 41. panta 6. punktā noteikto. Attiecīgi lūdzam precizēt noteikumu projektu, t.sk., iekļaujot attiecīgās normas, ko nosaka Regulas Nr. 651/2014 41. panta 7., 8.(ja attiecināms) un 6. punkts. Attiecīgi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Projekta iesniedzējs, atbilstoši Regulas Nr. 651/2014 47. panta 7. punktam, projekta iesniegumā apraksta, ka tad, ja atbalsts nebūtu piešķirts, ieguldījums netiktu veikts, piemēram, šādu iemeslu dēļ: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atbalstu plānots sniegts saskaņā ar Regulas Nr. 651/2014 47. pantu, lūdzam noteikumu projektu papildināt arī ar normām, kas izriet no Regulas Nr. 651/2014 47. panta 2.,3., 4., 6. un 10.punkta.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Komercdarbības atbalstu, kas piešķirts šo noteikumu ietvaros saskaņā ar Regulu Nr. 651/2014, drīkst kumulēt ar citu atbalstu no valsts, reģionālajiem vai Eiropas Savienības finanšu līdzekļiem, ja vien tas attiecas uz dažādām attiecināmajām izmaksām un pēc atbalstu apvienošanas netiek pārsniegta maksimāli pieļaujamā atbalsta intensitāte, kā to nosaka Regula Nr. 651/2014.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skaidri ir kumulācijas nosacījumi, kad atbalsts tiek sniegts ar Regulu Nr. 651/2014, lūdzam precizēt noteikumu projekta 50.punkta beigās minēto, aizstājot vārdus "kā to nosaka Regula Nr. 651/2014", ar informāciju, ka jāievēro šajos noteikumos noteiktā atbalsta intensitāte saskaņā ar Regulu Nr. 651/2014.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Piešķirto komercdarbības atbalstu drīkst kumulēt ar citu komercdarbības atbalstu, ja vien atbalsts attiecas uz dažādām attiecināmajām izmaksām un pēc atbalstu apvienošanas atbalsta vienībai vai izmaksu pozīcijai attiecīgā maksimālā atbalsta intensitāte nepārsniedz 100 procentus.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noteikumu projekta 53.punktu, jo tas ir pretrunā ar noteikumu projekta 51.punktā noteikto, ka de minimis atbalstu drīkst kumulēt ar citu komercdarbības atbalstu par tām pašām vai dažādām attiecināmajām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Neparedzētie izdevumi un rezerves izmaksas projektā ir sedzamas no līdzekļiem, par kuriem nav saņemts jebkāds komercdarbības atbalsts saskaņā ar Regulas Nr. 651/2014 1. panta 2. punkta "c" apakšpunkta un 6. panta 1. punkta, kā arī Eiropas Komisijas lēmuma Nr. 2012/21/ES 5.panta nosacījumiem, ja šīs izmaksas jau nav ietvertas sākotnēji piešķiramā atbalsta apjomā, saskaņā ar šo noteikumu </w:t>
            </w:r>
            <w:r w:rsidR="00000000" w:rsidRPr="00000000" w:rsidDel="00000000">
              <w:rPr>
                <w:rtl w:val="0"/>
              </w:rPr>
              <w:t xml:space="preserve">26.10.</w:t>
            </w:r>
            <w:r w:rsidR="00000000" w:rsidRPr="00000000" w:rsidDel="00000000">
              <w:rPr>
                <w:rtl w:val="0"/>
              </w:rPr>
              <w:t xml:space="preserve"> un </w:t>
            </w:r>
            <w:r w:rsidR="00000000" w:rsidRPr="00000000" w:rsidDel="00000000">
              <w:rPr>
                <w:rtl w:val="0"/>
              </w:rPr>
              <w:t xml:space="preserve">26.11.</w:t>
            </w:r>
            <w:r w:rsidR="00000000" w:rsidRPr="00000000" w:rsidDel="00000000">
              <w:rPr>
                <w:rtl w:val="0"/>
              </w:rPr>
              <w:t xml:space="preserve">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neparedzētie izdevumi un rezerves izmaksas projektā ir sedzamas no līdzekļiem, par kuriem nav saņemts jebkāds komercdarbības atbalsts, ja vien šīs izmaksas jau nav ietvertas sākotnēji piešķiramā atbalsta apjomā, ja atbalsts tiek sniegts saskaņā ar Regulu Nr. 651/2014, savukārt, ja atbalsts tiek sniegts saskaņā ar Eiropas Komisijas lēmuma Nr. 2012/21/ES nosacījumiem, neparedzētos izdevumus un rezerves izmaksas var segt, piemērojot Eiropas Komisijas lēmuma Nr. 2012/21/ES nosacījumus. Attiecīgi lūdzam precizēt noteikumu projekta 54.punktu, vienlaikus dzēšot atsauces uz Regulas Nr. 651/2014 1. panta 2. punkta "c" apakšpunktu un 6. panta 1. punktu, kā arī Eiropas Komisijas lēmuma Nr. 2012/21/ES 5.pantu, jo tās nav atbilstošas. Vienlaikus lūdzam ar skaidrojumu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Ja projekta darbības (izņemot šo noteikumu </w:t>
            </w:r>
            <w:r w:rsidR="00000000" w:rsidRPr="00000000" w:rsidDel="00000000">
              <w:rPr>
                <w:rtl w:val="0"/>
              </w:rPr>
              <w:t xml:space="preserve">26.1.</w:t>
            </w:r>
            <w:r w:rsidR="00000000" w:rsidRPr="00000000" w:rsidDel="00000000">
              <w:rPr>
                <w:rtl w:val="0"/>
              </w:rPr>
              <w:t xml:space="preserve"> apakšpunktā minētās izmaksas) ir uzsāktas un izmaksas radušās pirms projekta iesnieguma iesniegšanas sadarbības iestādē, projekta iesniegums tiek noraidīts.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dotu sasaisti ar darbu sākuma definīciju, tādējādi ievērojot atbalsta stimulējošās ietekmes prasību, lūdzam noteikumu projekta 60. punktā dot atsauci uz noteikumu projekta 45.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Pasākuma ietvaros plānotais un pieejamais kopējais attiecināmais finansējums ir 27 233 743 </w:t>
            </w:r>
            <w:r w:rsidR="00000000" w:rsidRPr="00000000" w:rsidDel="00000000">
              <w:rPr>
                <w:i w:val="1"/>
                <w:rtl w:val="0"/>
              </w:rPr>
              <w:t xml:space="preserve">euro</w:t>
            </w:r>
            <w:r w:rsidR="00000000" w:rsidRPr="00000000" w:rsidDel="00000000">
              <w:rPr>
                <w:rtl w:val="0"/>
              </w:rPr>
              <w:t xml:space="preserve"> (tajā skaitā elastības finansējums - 18 999 171 </w:t>
            </w:r>
            <w:r w:rsidR="00000000" w:rsidRPr="00000000" w:rsidDel="00000000">
              <w:rPr>
                <w:i w:val="1"/>
                <w:rtl w:val="0"/>
              </w:rPr>
              <w:t xml:space="preserve">euro</w:t>
            </w:r>
            <w:r w:rsidR="00000000" w:rsidRPr="00000000" w:rsidDel="00000000">
              <w:rPr>
                <w:rtl w:val="0"/>
              </w:rPr>
              <w:t xml:space="preserve">), tajā skaitā Kohēzijas fonda finansējums – 23 148 681 </w:t>
            </w:r>
            <w:r w:rsidR="00000000" w:rsidRPr="00000000" w:rsidDel="00000000">
              <w:rPr>
                <w:i w:val="1"/>
                <w:rtl w:val="0"/>
              </w:rPr>
              <w:t xml:space="preserve">euro</w:t>
            </w:r>
            <w:r w:rsidR="00000000" w:rsidRPr="00000000" w:rsidDel="00000000">
              <w:rPr>
                <w:rtl w:val="0"/>
              </w:rPr>
              <w:t xml:space="preserve"> (tajā skaitā elastības finansējums - 16 149 296 </w:t>
            </w:r>
            <w:r w:rsidR="00000000" w:rsidRPr="00000000" w:rsidDel="00000000">
              <w:rPr>
                <w:i w:val="1"/>
                <w:rtl w:val="0"/>
              </w:rPr>
              <w:t xml:space="preserve">euro</w:t>
            </w:r>
            <w:r w:rsidR="00000000" w:rsidRPr="00000000" w:rsidDel="00000000">
              <w:rPr>
                <w:rtl w:val="0"/>
              </w:rPr>
              <w:t xml:space="preserve">), un nacionālais līdzfinansējums, ko veido privātais līdzfinansējums, ne mazāk kā 4 085 062 </w:t>
            </w:r>
            <w:r w:rsidR="00000000" w:rsidRPr="00000000" w:rsidDel="00000000">
              <w:rPr>
                <w:i w:val="1"/>
                <w:rtl w:val="0"/>
              </w:rPr>
              <w:t xml:space="preserve">euro</w:t>
            </w:r>
            <w:r w:rsidR="00000000" w:rsidRPr="00000000" w:rsidDel="00000000">
              <w:rPr>
                <w:rtl w:val="0"/>
              </w:rPr>
              <w:t xml:space="preserve"> (tajā skaitā elastības finansējums - 2 849 875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6.punktu to izsakot piedāvātajā redakcijā, ņemot vērā, ka ar noteikuma projekta protokollēmuma 3. punktu tiek paredzēta atļauja Klimata un enerģētikas ministrijai izmantot elastības finansējumu. Vienlaicīgi lūdzam svītrot noteikumu projekta 7. punktu. Attiecīgi lūdzu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pieejamais kopējais attiecināmais finansējums ir 27 233 743 euro, tajā skaitā Kohēzijas fonda finansējums – 23 148 681 euro, un nacionālais līdzfinansējums, ko veido privātais līdzfinansējums, ne mazāk kā 4 085 062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iesniedzējs iesniedz sadarbības iestādē vispārējas tautsaimnieciskas nozīmes pakalpojuma pilnvarojuma uzlicēja apliecinājumu par šo noteikumu 16.7. apakšpunktā minētās atlīdzības (kompensācijas) maksājumu kontroli un pārskatīšanu, kā arī minēto atlīdzības (kompensācijas) maksājumu pārmaksas novēršanu un atgūšanu, ievērojot Eiropas Savienības līmenī noteikto pārbaužu regularitāti, bet ne retāk kā reizi trijos gados un pilnvarojuma akta darbības perioda beigās, ja tiek piemērots Eiropas Komisijas lēmums Nr. 2012/21/ES.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norādīto atsauci uz noteikumu projekta 16.7.apakšpunktu, norādot korektu noteikumu projekta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salāgot noteikumu projekta 18. un 49. punktu redakciju, lai novērstu nosacījumu dublēšanos viena noteikumu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Termiņš projektu iesniegumu sagatavošanai un iesniegšanai Kohēzijas politikas fondu vadības informācijas sistēmā tiks noteikts tā, lai nodrošinātu pietiekamu laiku Dūņu centra izveides nosacījumu izvērtējuma sagatavošanai un pabeigšanai, nepieciešamās dokumentācijas sagatavošanai, kā arī līguma ar pašvaldību noslēgšanai atbilstoši šo noteikumu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24.punktu, ņemot vērā to, ka tas nesatur juridiska rakstura normu, bet vairāk attiecas uz sadarbības iestādes un atbildīgās iestādes veicamām darbībām. Vēršam uzmanību, ka visi termiņi tiks noteikti projektu atlases nolikumā, un termiņš projektu iesniegumu iesniegšanai Kohēzijas politikas fondu vadības informācijas sistēmā tiks noteikts, sadarbības iestādei vienojoties ar atbildīgo iestādi. Ņemot vērā to, ka noteikumu projekta 22.punkts jau nosaka, ka projekta iesniedzējs sagatavo projekta iesniegumu saskaņā ar projektu iesniegumu atlases nolikuma prasībām, lūdzam svītrot noteikumu 24.punktu un nepieciešamības gadījumā ietvert to kā aprakstu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ievēro interešu konflikta neesamību saskaņā ar Eiropas Parlamenta un Padomes 2024. gada 23. septembra Regula (ES, Euratom) 2024/2509 par finanšu noteikumiem, ko piemēro Savienības vispārējam budžetam (pārstrādāta redakcija) 61. panta un iepirkumu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31.5.apakšpunktu, ņemot vērā to, ka  Eiropas Parlamenta un Padomes 2024. gada 23. septembra Regulas (ES, Euratom) 2024/2509 par finanšu noteikumiem, ko piemēro Savienības vispārējam budžetam (pārstrādātā redakcija) 61.panta prasības ir tieši piemērojamas tādiem projektiem, kas saistīti ar Eiropas Savienības (ES) fondu atbalsta saņemšanu un vienlaikus kuros atbilstoši specifiskā atbalsta mērķim finansējuma saņēmējs atlases kārtībā ES fondu dalībniekiem, gala saņēmējiem vai sadarbības partneriem sniedz finansiālu atbalstu (t.s. daudzpakāpju projekti). Vienlaikus lūdzam svītrot arī atsauci uz Regulu 2024/2509 noteikumu projekta anotācijas 5.1.sadaļā un  5.4.sadaļas 1.tabulā.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w:t>
            </w:r>
            <w:r w:rsidR="00000000" w:rsidRPr="00000000" w:rsidDel="00000000">
              <w:rPr>
                <w:i w:val="1"/>
                <w:rtl w:val="0"/>
              </w:rPr>
              <w:t xml:space="preserve">De minimis</w:t>
            </w:r>
            <w:r w:rsidR="00000000" w:rsidRPr="00000000" w:rsidDel="00000000">
              <w:rPr>
                <w:rtl w:val="0"/>
              </w:rPr>
              <w:t xml:space="preserve"> atbalstu, kas piešķirts šo noteikumu ietvaros saskaņā ar regulu Nr. 2023/2831, drīkst kumulēt ar citu komercdarbības atbalstu par tām pašām vai dažādām attiecināmajām izmaksām, ja vien tiek ievērota Regulā Nr. 2023/2831 noteiktā maksimālā kopējā atbalsta summa trīs gadu periodā, kā arī netiek pārsniegta attiecīgajam atbalsta veidam noteiktā maksimālā atbalsta intensitāte.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kumulācijas prasību ievērošanu, kas izriet no Komisijas regulas Nr. 2023/2831, lūdzam izteikt noteikumu projekta 51. punktu, piemēram, šādā piedāvātajā redakcijā, kuras piemēru lūdzam skatīt zemāk.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 minimis atbalstu, kas piešķirts šo noteikumu ietvaros saskaņā ar regulu Nr. 2023/2831, drīkst kumulēt ar citu de minimis atbalstu, tai skaitā attiecībā uz vienām un tām pašām attiecināmajām izmaksām, līdz Komisijas regulas Nr. 2023/2831 3. panta 2. 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ad-hoc lēmumā vai Eiropas Komisijas lēmumā. De minimis atbalstu ar citu de minimis atbalstu par vienām un tām pašām izmaksām var apvienot, ja pēc atbalstu apvienošanas atbalsta vienībai vai izmaksu pozīcijai attiecīgā maksimālā atbalsta intensitāte nepārsniedz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 vienām un tām pašām projekta attiecināmajām izmaksām tiek piešķirts atbalsts vairāku komercdarbības atbalsta programmu ietvaros, atbalsta saņēmējs iesniedz informāciju par plānoto un piešķirto atbalstu, tai skaitā par tām pašām attiecināmajām izmaksām, norādot atbalsta piešķiršanas datumu (tai skaitā plānoto atbalsta piešķiršanas datumu), atbalsta intensitāti, atbalsta sniedzēju, atbalsta pasākumu vai investīciju un plānoto vai piešķirto atbalsta summu.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Komercdarbības atbalstu, kas piešķirts šo noteikumu ietvaros saskaņā ar Eiropas Komisijas lēmumu Nr. 2012/21/ES, drīkst kumulēt ar citu komercdarbības atbalstu, kas sniegts kā kompensācija par sabiedriskajiem pakalpojumiem dažiem uzņēmumiem, kuriem uzticēts sniegt pakalpojumus ar vispārēju tautsaimniecisku nozīmi, citas atbalsta programmas vai individuālā atbalsta projekta ietvaros par vienām un tām pašām attiecināmajām izmaksām, ja vien tiek ievērots pārkompensācijas aizliegums un kopējais atbalsta apjoms nepārsniedz nepieciešamo kompensāciju attiecīgā sabiedriskā pakalpojuma uzdevuma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viennozīmīgi skaidrs, ka noteikumu projekta 52. punktā minētais kopējais atbalsta apjoms nepārsniedz nepieciešamo kompensāciju attiecīgā sabiedriskā pakalpojuma uzdevuma izpildei, ir kompensācija, kas nepārsniedz gada summu 15 miljonus attiecīgā sabiedriskā pakalpojuma uzdevuma izpildei, kas noteikts Eiropas Komisijas lēmuma Nr. 2012/21/ES 2. panta 1a) punktā, lūdzam attiecīgi papildināt noteikumu projekta 52.punktu un anotācijas 5.4. 1. tabulu papildināt ar noteikumu punktu izvērtējumu atbilstoši Eiropas Komisijas lēmuma Nr. 2012/21/ES nosacījumiem, t.sk. Eiropas Komisijas lēmuma Nr. 2012/21/ES 2. panta 1a)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pārskatīt anotācijas 5.4. 1. tabulu un papildināt ar noteikumu punktu izvērtējumu atbilstoši arī citiem komercdarbības atbalsta regulējumiem.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Ja tiek pārkāptas šajos noteikumos noteiktās komercdarbības atbalsta piešķiršanas prasības, tostarp Regulas Nr. 651/2014, Regulas Nr. 2023/2831 vai Eiropas Komisijas lēmuma Nr. 2012/21/ES prasības, finansējuma saņēmējam ir pienākums atmaksāt sadarbības iestādei projekta ietvaros saņemto nelikumīgo atbalstu pilnā apmērā kopā ar procentiem, saskaņā ar Komercdarbības atbalsta kontroles likuma IV vai V nodaļu. Atmaksa veicama no līdzekļiem, kas ir brīvi no komercdarbības atbalsta.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 nelikumīgu komercdarbības atbalstu tiek uzskatīts tāds atbalsts, kas sniegts, neievērojot attiecīgo komercdarbības atbalsta regulējumu, lūdzam no noteikumu projekta 64.punkta dzēst vārdus ''šajos noteikumos noteiktās komercdarbības atbalsta piešķiršanas prasības, tostarp'''.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25.06.2025.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