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“Komisijas 2012. gada 29. jūnija deleģēto regulu Nr. 826/2012, kas papildina Eiropas Parlamenta un Padomes regulu Nr. 236/2012 attiecībā uz regulatīvajiem tehniskajiem standartiem informēšanas un informācijas publiskošanas prasībām par neto īsajām pozīcijām, Eiropas Vērtspapīru un tirgu iestādei sniedzamajām ziņām par neto īsajām pozīcijām un apgrozījuma aprēķināšanas metodi nolūkā noteikt atbrīvotās akcijas (turpmāk – Regula Nr. 826/2012)” dalībvalstu uzraudzības iestādēm jāizveido sistēma, kurā investori ziņo par īsajām vai nesegtajām pozīcijām. Turklāt Regula Nr. 826/2012 nosaka, ka dalībvalstu uzraudzības iestādēm ir jāapstiprina ziņojumu formas, kuru paraugi ir pievienoti Regulas Nr. 826/2012 pielikumā.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veikt minētos grozījumus, lai Latvijas Banka varētu izstrādāt noteikumus par īsajām un nesegtajām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Ierosinu papildināt 137.</w:t>
            </w:r>
            <w:r w:rsidR="00000000" w:rsidRPr="00000000" w:rsidDel="00000000">
              <w:rPr>
                <w:vertAlign w:val="superscript"/>
                <w:rtl w:val="0"/>
              </w:rPr>
              <w:t xml:space="preserve">2</w:t>
            </w:r>
            <w:r w:rsidR="00000000" w:rsidRPr="00000000" w:rsidDel="00000000">
              <w:rPr>
                <w:rtl w:val="0"/>
              </w:rPr>
              <w:t xml:space="preserve"> panta trešo daļu ar 3. punktu šādā redakcijā:"3) par kārtību, kādā juridiskās un fiziskās personas ziņo Latvijas Bankai par finanšu instrumentu īsajām vai nesegtajām pozīcijām, kā arī informācijas atklāšanas kārtību par īsajām pozīcijām akcijās."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Bergholde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ierosināts veikt grozījumus likuma 100.</w:t>
            </w:r>
            <w:r w:rsidR="00000000" w:rsidRPr="00000000" w:rsidDel="00000000">
              <w:rPr>
                <w:vertAlign w:val="superscript"/>
                <w:rtl w:val="0"/>
              </w:rPr>
              <w:t xml:space="preserve">2</w:t>
            </w:r>
            <w:r w:rsidR="00000000" w:rsidRPr="00000000" w:rsidDel="00000000">
              <w:rPr>
                <w:rtl w:val="0"/>
              </w:rPr>
              <w:t xml:space="preserve"> pantā. Grozījums nepieciešams, jo šā brīža likuma 100.</w:t>
            </w:r>
            <w:r w:rsidR="00000000" w:rsidRPr="00000000" w:rsidDel="00000000">
              <w:rPr>
                <w:vertAlign w:val="superscript"/>
                <w:rtl w:val="0"/>
              </w:rPr>
              <w:t xml:space="preserve">2</w:t>
            </w:r>
            <w:r w:rsidR="00000000" w:rsidRPr="00000000" w:rsidDel="00000000">
              <w:rPr>
                <w:rtl w:val="0"/>
              </w:rPr>
              <w:t xml:space="preserve"> panta otrās daļas redakcija neaptver visus gadījumus, kad ir pamats izpildīt apturētā sistēmas dalībnieka pārveduma uzdevumus (piemēram, banka pārdod savus vērtspapīrus, lai iegūtu naudas līdzekļus kreditoru prasījumu apmierināšanai). Tiek rosināts izteikt 100.</w:t>
            </w:r>
            <w:r w:rsidR="00000000" w:rsidRPr="00000000" w:rsidDel="00000000">
              <w:rPr>
                <w:vertAlign w:val="superscript"/>
                <w:rtl w:val="0"/>
              </w:rPr>
              <w:t xml:space="preserve">2</w:t>
            </w:r>
            <w:r w:rsidR="00000000" w:rsidRPr="00000000" w:rsidDel="00000000">
              <w:rPr>
                <w:rtl w:val="0"/>
              </w:rPr>
              <w:t xml:space="preserve"> panta otro daļu jaunā redakcijā un papildināt 100.</w:t>
            </w:r>
            <w:r w:rsidR="00000000" w:rsidRPr="00000000" w:rsidDel="00000000">
              <w:rPr>
                <w:vertAlign w:val="superscript"/>
                <w:rtl w:val="0"/>
              </w:rPr>
              <w:t xml:space="preserve">2</w:t>
            </w:r>
            <w:r w:rsidR="00000000" w:rsidRPr="00000000" w:rsidDel="00000000">
              <w:rPr>
                <w:rtl w:val="0"/>
              </w:rPr>
              <w:t xml:space="preserve"> pantu ar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centrālā vērtspapīru depozitārija dalībnieka darbība finanšu instrumentu norēķinu sistēmā ir apturēta šā panta pirmajā daļā minētajā gadījumā, centrālais vērtspapīru depozitārijs pabeidz to pārveduma rīkojumu norēķinus, kas ir spēkā saskaņā ar likumu "Par norēķinu galīgumu maksājumu un finanšu instrumentu norēķinu sistēmās". Pēc tam centrālais vērtspapīru depozitārijs finanšu instrumentu norēķinu sistēmā ir tiesīgs izpildīt šādus apturētā dalībnieka pārvedumus: 1) pārvedumi, kuru rezultātā samazinās šā dalībnieka klientu kontu atlikums;2) pārvedumi, kas nepieciešami, lai izpildītu vērtspapīru notikumus.(3) Līdz brīdim, kad atbilstoši maksātnespējas vai likvidācijas procesu regulējošajiem normatīvajiem aktiem  ir iecelts administrators vai likvidators, pārvedumu, kuri nav minēti šā panta otrajā daļā, izpildei nepieciešams saņemt attiecīgā dalībnieka uzraudzības institūcijas piekrišanu.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Vadims Kolomijecs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sniegto informāciju, ka likumprojekts stāsies spēkā vispārējā kārtībā, ierosinām svītrot no likumprojekta atrunu par tā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23-TA-360</w:t>
    </w:r>
    <w:r>
      <w:br/>
    </w:r>
    <w:r w:rsidR="00000000" w:rsidRPr="00000000" w:rsidDel="00000000">
      <w:rPr>
        <w:rtl w:val="0"/>
      </w:rPr>
      <w:t xml:space="preserve">Izdrukāts 06.04.2023.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23-TA-360</w:t>
    </w:r>
    <w:r>
      <w:br/>
    </w:r>
    <w:r w:rsidR="00000000" w:rsidRPr="00000000" w:rsidDel="00000000">
      <w:rPr>
        <w:rtl w:val="0"/>
      </w:rPr>
      <w:t xml:space="preserve">Izdrukāts 06.04.2023.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Atzinumi_23-TA-360.docx</dc:title>
</cp:coreProperties>
</file>

<file path=docProps/custom.xml><?xml version="1.0" encoding="utf-8"?>
<Properties xmlns="http://schemas.openxmlformats.org/officeDocument/2006/custom-properties" xmlns:vt="http://schemas.openxmlformats.org/officeDocument/2006/docPropsVTypes"/>
</file>