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Attīstības sadarbības politikas plānu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30.11.2023.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30.11.2023.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