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Radiofrekvences piešķīruma lietošanas atļauju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27.02.2023.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27.02.2023.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