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par FM pārziņā esošo ES fondu un ārvalstu finanšu palīdzības aktualitātēm 4.pielikumu “ES fondu 2021.–2027. gada plānošanas perioda MK noteikumu par specifisko atbalsta mērķu ieviešanu izstrādes laika grafika progress”, norādot, ka 4.2.3.3. pasākuma “Pilsonisko līdzdalību veicinošu kultūras pakalpojumu pieejamības veicināšana” īstenošanas noteikumu apstiprināšana paredzēta 2025. gada I ceturksnī, savukārt, projektu iesniegumu atlases uzsākšana 2025. gada II ceturksnī un 5.1.1.6. pasākuma “Kultūras mantojuma saglabāšana un jaunu pakalpojumu attīstība” atlases uzsākšana 2025. gada 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Andrelita Blusanoviča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Atzinumi_25-TA-384.docx</dc:title>
</cp:coreProperties>
</file>

<file path=docProps/custom.xml><?xml version="1.0" encoding="utf-8"?>
<Properties xmlns="http://schemas.openxmlformats.org/officeDocument/2006/custom-properties" xmlns:vt="http://schemas.openxmlformats.org/officeDocument/2006/docPropsVTypes"/>
</file>