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Valdorfpedagoģijas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izglītības iestādē paralēli vispārizglītojošām klasēm kādā no klasēm mācību process tiek īstenots, izmantojot Montesori vai Valdorfa alternatīvo pedagoģiju, tad attiecībā uz vispārizglītojošām klasēm attiecīgajā klašu grupā tiek piemēroti šo noteikumu 2. pielikuma attiecīgajai klašu grupai noteiktie kvantitatīvie rādītāji un pieļaujamā svārstība, bet tām klasēm, kurās mācību process tiek īstenots, izmantojot Montesori vai Valdorfa alternatīvo pedagoģiju – šo noteikumu 2. pielikuma 15. un 16. grupai noteiktie kvantitatīvie rādītāji un pieļaujamā svārstība, ievērojot šo noteikumu 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Valdorfpedagoģijas asociācija iebilst pret mācību procesa īstenošanas formu “kādā no klasēm, izmantojot Valdorfa alternatīvo pedagoģiju”, jo tā konceptuāli neatbilst līdzšinējās sarunās panāktajam regulējumam, kas jau iestrādāts citos noteikumu projektos un paredz, ka Valdorfa un Montesori alternatīvā pedagoģija izglītības iestādē tiek īstenota visā mācību procesā visās klasēs. Valdorfskola un valdorfpedagoģija ir kopums un sistēma, kura valdorfskolas mācību programmu pilnvērtīgi var realizēt skolā, nevis kādā vai vienā atsevišķā klasē.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Būda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09.02.2026.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09.02.2026.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