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projektos, kas apstiprināti tāda atklāta projektu konkursa ietvaros, kurā vienam projektam pieejamā maksimālā summa nepārsniedz 10 000,00 euro, aģentūra 10 darbdienu laikā pēc līguma noslēgšanas veic maksājumu 100% apmērā no projektam piešķirtā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anotācijā sniegtā informācija nesniedz pamatojumu noteikumu projekta 1.punktā paredzētajam grozījumam, jo jautājums par jaunatnes organizāciju, biedrību un nodibinājumu, kas veic darbu ar jaunatni, motivāciju pretendēt uz programmas atklāto projektu konkursu finansējuma saņemšanu pēc būtības ir jau atrisināts ar Ministru kabineta 2013.gada 5.novembra noteikumu Nr.1243 "Kārtība, kādā piešķir valsts budžeta finansējumu, kas paredzēts jauniešu iniciatīvas un līdzdalības veicināšanai lēmumu pieņemšanā un sabiedriskajā dzīvē, darbam ar jaunatni un jaunatnes organizāciju darbības atbalstam" 32.3.apakšpunktu, kas paredz, ka Jaunatnes starptautisko programmu aģentūra 10 darbdienu laikā pēc līguma noslēgšanas veic pirmo avansa maksājumu un 10 darbdienu laikā pēc projekta starpposma pārskata apstiprināšanas atlikušo maksājumu, līdz ar to projekta īstenotājam nav jāiegulda savs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nav sniegts risku izvērtējums, norādot, cik projektiem līdz šim ir bijušas neattiecināmās izmaksas un gadījumi, kad jāveic neizlietotā finansējuma atmaksa, lai izvērtētu, cik lielu risku tas rada valsts budžetam, ņemto vērā, ka, veicot maksājumu 100% apmērā no projektam piešķirtā finansējuma, pēc būtības tiek samazināta iespēja atgūt neatbilstoši izlietoto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24.04.2023. 19.26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24.04.2023. 19.26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Atzinumi_23-TA-771.docx</dc:title>
</cp:coreProperties>
</file>

<file path=docProps/custom.xml><?xml version="1.0" encoding="utf-8"?>
<Properties xmlns="http://schemas.openxmlformats.org/officeDocument/2006/custom-properties" xmlns:vt="http://schemas.openxmlformats.org/officeDocument/2006/docPropsVTypes"/>
</file>