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ja bruto subsīdijas ekvivalents tiek aprēķināts saskaņā ar Komisijas Regula (ES) Nr. 651/2014 ( 2014. gada 17. jūnijs ), ar ko noteiktas atbalsta kategorijas atzīst par saderīgām ar iekšējo tirgu, piemērojot Līguma 107. un 108. pantu (turpmāk - Komisijas regula Nr. </w:t>
            </w:r>
            <w:r w:rsidR="00000000" w:rsidRPr="00000000" w:rsidDel="00000000">
              <w:rPr>
                <w:rtl w:val="0"/>
              </w:rPr>
              <w:t xml:space="preserve">2023/2831</w:t>
            </w:r>
            <w:r w:rsidR="00000000" w:rsidRPr="00000000" w:rsidDel="00000000">
              <w:rPr>
                <w:rtl w:val="0"/>
              </w:rPr>
              <w:t xml:space="preserve"> ) 4. panta 6. punkta "c" apakšpunktu,  – 25 000 000 </w:t>
            </w:r>
            <w:r w:rsidR="00000000" w:rsidRPr="00000000" w:rsidDel="00000000">
              <w:rPr>
                <w:i w:val="1"/>
                <w:rtl w:val="0"/>
              </w:rPr>
              <w:t xml:space="preserve">euro</w:t>
            </w:r>
            <w:r w:rsidR="00000000" w:rsidRPr="00000000" w:rsidDel="00000000">
              <w:rPr>
                <w:rtl w:val="0"/>
              </w:rPr>
              <w:t xml:space="preserve">, ja garantijas sākotnējais termiņš nepārsniedz 10 gadus ja garantija tiek sniegta kā reģionālais atbalstu saskaņā ar Komisijas regulas Nr. 651/2014 14.pantu;;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2020. gada 16. jūnija noteikumu Nr. 383 "Noteikumi par garantijām saimnieciskās darbības veicējiem konkurētspējas uzlabošanai” (turpmāk – noteikumi) 10.punktā minēts, ka "Piešķirot garantiju, tiek sniegts de minimis atbalsts saskaņā ar šo noteikumu IV nodaļu.", taču vienlaikus noteikumu projekts ir papildināts ar dažiem nosacījumiem, kā arī skaidrojumu anotācijā, no kā noprotams, ka atbalstu plānots piešķirt arī ar Komisijas 2014. gada 17. jūnija Regulas (ES) Nr. 651/2014, ar ko noteiktas atbalsta kategorijas atzīst par saderīgām ar iekšējo tirgu, piemērojot Līguma 107. un 108. pantu (turpmāk – Komisijas Regula Nr.651/2014) 14.pantu. Pirmkārt, aicinām anotācijā skaidrot, kuros gadījumos atbalsts tiks piešķirts kā de minimis atbalsts un kuros – piemērojot Komisijas Regulu Nr.651/2014, lai atbalsta pretendents būtu informēts un saprastu, kādi dokumenti tam jāiesniedz, piesakoties atbalstam. Otrkārt, skaidrojam, ka, piemērojot Komisijas Regulas Nr.651/2014 kādu no tās pantiem, atbilstoši Eiropas Savienības tiesu praksei atbalsta pasākumā jāietver visi nepieciešamie nosacījumi, ko šis regulējums ietver. Attiecīgi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 projektu ar visiem nepieciešamajiem Komisijas Regulas (ES) Nr. 651/2014 I nodaļas un 14.panta nosacījumiem (tostarp, atbalsta stimulējošās ietekmes un kumulācijas nosacījumiem, atbalsta intensitāti un citiem specifiskiem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noteikumu projektā iekļautās normas, piemēram, noteikumu 12.1.apakšpunktu, jo vairs nav skaidrs, par kuru regulu (Komisijas Regulu (ES) Nr. 651/2014 vai  Komisijas regulu Nr. 2023/2831) ir runa, jo Komisijas Regulas (ES) Nr. 651/2014 4.pantam nav 6.punkta. Proti, no noteikumu projekta ir jābūt skaidram, kuros gadījumos kādiem uzņēmumiem piemēro de minimis regulējuma nosacījumus, kuros - Komisijas Regulu (ES) Nr. 651/2014, t.sk. kā aprēķina subsīdijas ekvivalentu, un kāda informācija atbalsta sniedzējam katrā gadījumā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Subsīdijas ekvivalentu lielajam saimnieciskās darbības veicējam un mazai vidējās kapitalizācijas un vidējās kapitalizācijas sabiedrībai aprēķina, piemērojot Komisijas regulas Nr. 2023/2831 4. panta 6. punkta "b" apakšpunkta nosacījumus, ja atbalsts tiek sniegts kā de minimis vai saskaņā ar metodiku, kas saskaņota ar Eiropas Komisiju atbilstoši Regulas 651/2014 5.panta “c” “ii” apakšpunktam vai saskaņā  Nr. 2023/2831 4. panta 6. punkta "d" “i”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Klimata un enerģētikas ministrija ar akciju sabiedrības “Attīstības finanšu institūcija Altum” (turpmāk – sabiedrība “Altum”) atbalstu vēl tikai veic dokumentu sagatavošanu paziņojuma iesniegšanai Eiropas Komisijai un ka Eiropas Komisija vēl nav pieņēmusi lēmumu par noteikumu 21. punkta plānotajā redakcijā minēto metodiku, lūdzam precizēt noteikumu projektu, piemēram, noteikumu projekta "VI.Noslēguma jautājumi" nosakot pārejas kārtību no pašlaik pastāvošā tiesiskā regulējuma uz jauno tiesisko regulējumu, kad noteikumu 21. punkta plānotajā redakcijā minētā metodika tiks apstiprināta no Eiropas Komisijas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anotāciju, papildinot to ar informāciju par 16.²punkta un tā apakšpunktu 16.21., 16.22, 16.23., 16.23.1., 16.23.2.  iekļaušanu noteikumu projektā, norādot šī punkta iekļaušanas pamatojumu un nozīmi normatīvā akta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konkrētāku Ekonomikas ministrijas  izvērtējumu par nosacījumiem, kas tiek mainīti noteikumu ietvaros - garantijas apjoma palielināšana, kredītiestāžu loka paplašināšana - kāds ir paredzamais darījumu apjoma pieaugums, kā tas ietekmēs 1.2.3.4.pasākuma īstenošanu - pasākuma finansējuma izlietojumu un 1.2.3.4.pasākuma garantiju programmas sasniedzamos rādītājus. Lūgums sniegt arī izvērtējumu par kredītiestāžu loka paplašināšanas, tajā skaitā, papildināšanas ar alternatīvā finansējuma pakalpojuma sniedzējiem, riskiem un plānotajiem risku novēršanas mehānismiem (piemēram, lai netiktu atbalstīta "ātrās kreditēšanas" nozares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izvērtējumu par noteikumu grozījumu nosacījumu, kas attiecas uz Eiropas Savienības kohēzijas politikas programmas 2021. - 2027.gadam 1.2.3.4. un 1.2.2.2.pasākumu, ietekmi uz īstenošanā esošajiem un plānotajiem (vērtēšanā esošajiem un iesniegtajiem projektiem, kuru vērtēšana nav uzsākta) 1.2.3.4 un 1.2.2.2.pasākuma garantiju programmas projektiem, kā arī izvērtējumu, vai būs nepieciešami grozījumi visu līmeņu noslēgtajos līgumos. Tāpat lūdzam noteikt pārejas nosacījumus jauno plānoto garantiju nosacījumu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Eiropas Savienības kohēzijas politikas programmas 2021. - 2027.gadam grozījumi Nr.3, kas iekļauj arī 1.2.2.2.pasākuma pievienošanu 1.2.3.4.pasākumam (svītrošanu no 1.2.2. specifiskā atbalsta mērķa), vēl nav apstiprināti, lūgums anotācijā paredzēt risku, ka Eiropas Komisija var neatbalstīt Ekonomikas ministrijas ierosinātos grozījumus Eiropas Savienības kohēzijas politikas programmā 2021. - 2027.gadam, tādējādi paredzot veikt attiecīgus grozījumus noteikumos. Kā arī lūdzam papildināt Ministru kabineta protokollēmuma projektu ar punktu par Ekonomikas ministrijas rīcību, gadījumā, ja Eiropas Komisija nesaskaņos Ekonomikas ministrijas piedāvātos grozījumus 1.2.2.2.pasākuma pievienošanai 1.2.3.specifiskajam atbalsta mērķim - pēc līdzības ar 1.2.1.2.pasākuma noteikumu grozījumiem (25-TA-215).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plānotajai  1.2.2.2. pasākuma likvidēšanai, kā arī 1.2.3.3.pasākuma finansējuma maiņai nepieciešami arī grozījumi 2023. gada 5. septembra noteikumos Nr. 510 "Eiropas Savienības kohēzijas politikas programmas 2021.–2027. gadam finanšu instrumentu kopīgie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tehnisko precizējumu apraksta pirmo rindkopu, atrunājot, ka 1.2.2.2 pasākuma izsniegto atbalstu vienam gala saņēmējam pārceļ uz 1.2.3.4. pasākumu, kā arī norādot 1.2.2.2. pasākumam pieejamo finansējumu atbilstoši Ministru kabineta 2023. gada 5. septembra noteikumiem Nr. 510 pielikumam.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kohēzijas politikas programma 2021.–2027.gadam  no SAM 1.2.2. svītrots finanšu instrumentu atbalsts (digitalizācijas garantijas). ņemot vērā to, ka 1.2.3. SAM ietvaros jau tiek nodrošināts atbalsts garantijām Finanšu instrumentu (turpmāk – FI) veidā, attiecīgi digitalizācijas garantijām paredzētais finansējums 4 934 738 euro  apmērā tiek pārcelts uz 1.2.3.3. pasākumu, savukārt 1.2.2.2. pasākuma ietvaros vienīgais sniegtais atbalsts gala saņēmējam tiek pārcelts uz 1.2.3.4 pasākumu. Veikti precizējumi MK noteikumu projektā, dzēšot atsauces uz 1.2.2.2. pasākumu, jo no SAM 1.2.2. svītrots finanšu instrumentu atbalsts (digitalizācijas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sniegto informāciju, ka digitalizācijas garantijām paredzētais finansējums 4 190 000 euro apmērā tiek pārcelts uz 1.2.3.3. pasākumu un gadījumā, ja minētais samazinājums ir attiecināms uz Eiropas Savienības fondu projektiem, tad lūdzam to atspoguļot arī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pēc noteikumu projekta pieņemšanas 60 dienu laikā sagatavot un iesniegt Ministru kabinetā programmas rādītāju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precizēt Ministru kabineta sēdes protokollēmuma projekta 3. punktu, atsaucoties uz Attīstības finanšu institūcijas likuma 12. panta trešajā daļā ietvertajām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saskaņā ar Attīstības finanšu institūcijas likuma 12. panta trešajā daļā noteiktajām prasībām sagatavot programmas rādītāju novērtējumu un ekonomikas ministram 60 dienu laikā pēc šo noteikumu pieņemšanas dienas iesniegt to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no sabiedrība “Altum” 2014. – 2020. gada Eiropas Savienības fondu plānošanas perioda ERAF atmaksātā publiskā finansējuma līdz 15 000 000 euro, ja bruto subsīdijas ekvivalents darījumiem tiek aprēķināts saskaņā ar Komisijas regulas Nr. 2023/2831 4. panta 6. punkta "c" apakšpunktu un  pārsniedz 10 000 000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ietvert atsauces uz finansējuma punktiem, lai būtu skaidrs, kādas garantijas tiek segtas no kādiem finansējuma avotiem, tajā skaitā, lai būtu viennozīmīgi skaidri noteikts, ka Eiropas Reģionālās attīstības fonda1.2.3.4.pasākuma ietvaros finansējums netiks sniegts lielajiem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no sabiedrība “Altum” 2014. – 2020. gada Eiropas Savienības fondu plānošanas perioda ERAF atmaksātā publiskā finansējuma līdz 15 000 000 euro, ja bruto subsīdijas ekvivalents darījumiem tiek aprēķināts saskaņā ar Komisijas regulas Nr. 2023/2831 4. panta 6. punkta "c" apakšpunktu un  pārsniedz 10 000 000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Ekonomikas ministrijas izvērtējumu par noteikumu plānotā 7.6.apakšpunkta atbilstību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45.panta nosacījumiem par līdzekļu atkārtotu izmantošanu pēc atbilstības perioda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no sabiedrība “Altum” 2014. – 2020. gada Eiropas Savienības fondu plānošanas perioda ERAF atmaksātā publiskā finansējuma līdz 15 000 000 euro, ja bruto subsīdijas ekvivalents darījumiem tiek aprēķināts saskaņā ar Komisijas regulas Nr. 2023/2831 4. panta 6. punkta "c" apakšpunktu un  pārsniedz 10 000 000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7.6. punkta redakciju, neiekļaujot atsauci uz a) atbalsta veidu (jo arī ar regulu 651/2014  būtu iespējams sniegt atbalstu), kā arī uz b) subsīdijas ekvivalentu, jo tas jau minēts citās normās, kā arī c) precizējot, ka 10 000 000  attiecas uz garantijas apmēru, piemēram, nosakot, ka " sabiedrība “Altum” 2014. – 2020. gada Eiropas Savienības fondu plānošanas perioda ERAF atmaksātā publiskā finansējuma līdz 15 000 000 euro, ja garantijas apmērs  pārsniedz 10 000 000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Kapusta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ja saimnieciskās darbības veicējs ir sadalīts, saņemto </w:t>
            </w:r>
            <w:r w:rsidR="00000000" w:rsidRPr="00000000" w:rsidDel="00000000">
              <w:rPr>
                <w:i w:val="1"/>
                <w:rtl w:val="0"/>
              </w:rPr>
              <w:t xml:space="preserve">de minimis</w:t>
            </w:r>
            <w:r w:rsidR="00000000" w:rsidRPr="00000000" w:rsidDel="00000000">
              <w:rPr>
                <w:rtl w:val="0"/>
              </w:rPr>
              <w:t xml:space="preserve"> atbalstu attiecina uz to saimnieciskās darbības veicēju, kas guva labumu no saņemtā </w:t>
            </w:r>
            <w:r w:rsidR="00000000" w:rsidRPr="00000000" w:rsidDel="00000000">
              <w:rPr>
                <w:i w:val="1"/>
                <w:rtl w:val="0"/>
              </w:rPr>
              <w:t xml:space="preserve">de minimis</w:t>
            </w:r>
            <w:r w:rsidR="00000000" w:rsidRPr="00000000" w:rsidDel="00000000">
              <w:rPr>
                <w:rtl w:val="0"/>
              </w:rPr>
              <w:t xml:space="preserve"> atbalsta un kas pārņēma darbības, kurām sākotnēji tika izmantots </w:t>
            </w:r>
            <w:r w:rsidR="00000000" w:rsidRPr="00000000" w:rsidDel="00000000">
              <w:rPr>
                <w:i w:val="1"/>
                <w:rtl w:val="0"/>
              </w:rPr>
              <w:t xml:space="preserve">de minimis</w:t>
            </w:r>
            <w:r w:rsidR="00000000" w:rsidRPr="00000000" w:rsidDel="00000000">
              <w:rPr>
                <w:rtl w:val="0"/>
              </w:rPr>
              <w:t xml:space="preserve"> atbalsts vai, ja minētā attiecināšana nav iespējama, saņemto </w:t>
            </w:r>
            <w:r w:rsidR="00000000" w:rsidRPr="00000000" w:rsidDel="00000000">
              <w:rPr>
                <w:i w:val="1"/>
                <w:rtl w:val="0"/>
              </w:rPr>
              <w:t xml:space="preserve">de minimis</w:t>
            </w:r>
            <w:r w:rsidR="00000000" w:rsidRPr="00000000" w:rsidDel="00000000">
              <w:rPr>
                <w:rtl w:val="0"/>
              </w:rPr>
              <w:t xml:space="preserve"> atbalstu attiecina proporcionāli, pamatojoties uz saimnieciskās darbības veicēja pašu kapitāla bilances vērtību sadales faktiskajā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(ES) 2023/2831 par Līguma par Eiropas Savienības darbību 107. un 108. panta piemērošanu de minimis atbalstam (turpmāk – Komisijas regula Nr. 2023/2831) 3. panta 9. punktā noteiktajam, atbalsta sniedzējam ir pienākums pārbaudīt piešķirtā, nevis faktiski saņemtā atbalsta apjomu. Lai nodrošinātu atbilstību Komisijas regulai Nr. 2023/2831, aicinām noteikumu 26.2. apakšpunktā aizstāt vārdu “saņemto” ar vārdu “piešķirto”.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25-TA-400</w:t>
    </w:r>
    <w:r>
      <w:br/>
    </w:r>
    <w:r w:rsidR="00000000" w:rsidRPr="00000000" w:rsidDel="00000000">
      <w:rPr>
        <w:rtl w:val="0"/>
      </w:rPr>
      <w:t xml:space="preserve">Izdrukāts 30.04.2025.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25-TA-400</w:t>
    </w:r>
    <w:r>
      <w:br/>
    </w:r>
    <w:r w:rsidR="00000000" w:rsidRPr="00000000" w:rsidDel="00000000">
      <w:rPr>
        <w:rtl w:val="0"/>
      </w:rPr>
      <w:t xml:space="preserve">Izdrukāts 30.04.2025.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Atzinumi_25-TA-400.docx</dc:title>
</cp:coreProperties>
</file>

<file path=docProps/custom.xml><?xml version="1.0" encoding="utf-8"?>
<Properties xmlns="http://schemas.openxmlformats.org/officeDocument/2006/custom-properties" xmlns:vt="http://schemas.openxmlformats.org/officeDocument/2006/docPropsVTypes"/>
</file>