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būtu nepieciešams papildināt ar sekojošu skaidrojumu -  Aizsardzības ministrija un tās padotības iestādes veic likumā noteikto siltumnīcefekta gāzu emisiju samazināšanu un oglekļa dioksīda piesaisti tik tālu, cik tas nemazina Nacionālo bruņoto spēku kaujas spējas un reaģēšanas ātrumu.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Liniņš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nav zināmi precīzi rīcības plāni un uzdevumi, kā sasniegt likumā izvirzītos klimatneitralitātes mērķus,  tad būtu nepieciešams precizēt, ka AM un tās padotības iestādēm ir iespējas piedalīties šo mērķu sasniegšanā minimālā apjomā, lai tas neierobežotu militārās infrastruktūras izmantošanu un citu aizsardzības nozares uzdevumu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Sindra Elksne (VAMOIC)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