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apspriešanā saņemto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papildināt pantu ar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Elektronisko sakaru komersants, augstākā līmeņa domēna reģistrs, domēna vārda reģistratūra un informācijas sabiedrības pakalpojumu sniedzējs nav atbildīgs par zaudējumiem, kas trešajām personām radīti šā panta pirmajā un trīspadsmitajā daļā minēto lēmumu izpildes rezultātā.".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11. pantā sestās daļas 7. punktā aizstāt vārdu "turētājs" ar vārdu "uzturētājs" un likumprojekta 12. pantā ietvertajā 34.</w:t>
            </w:r>
            <w:r w:rsidR="00000000" w:rsidRPr="00000000" w:rsidDel="00000000">
              <w:rPr>
                <w:vertAlign w:val="superscript"/>
                <w:rtl w:val="0"/>
              </w:rPr>
              <w:t xml:space="preserve">4</w:t>
            </w:r>
            <w:r w:rsidR="00000000" w:rsidRPr="00000000" w:rsidDel="00000000">
              <w:rPr>
                <w:rtl w:val="0"/>
              </w:rPr>
              <w:t xml:space="preserve"> panta 16. daļā aizstāt vārdus “augstākā līmeņa domēna reģistrs" ar vārdiem “augstākā līmeņa domēna reģistra uzturētājs" atbilstoši Elektronisko sakaru likuma 4. panta trešajā daļā ietvertajai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Birjukovska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05.06.2026.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05.06.2026.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Atzinumi_25-TA-2335.docx</dc:title>
</cp:coreProperties>
</file>

<file path=docProps/custom.xml><?xml version="1.0" encoding="utf-8"?>
<Properties xmlns="http://schemas.openxmlformats.org/officeDocument/2006/custom-properties" xmlns:vt="http://schemas.openxmlformats.org/officeDocument/2006/docPropsVTypes"/>
</file>