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projektu ieviešanas, vadības, uzraudzības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informāciju par projekta iesnieguma iesniedzēja patiesajiem labuma guvējiem, īpašniekiem un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vai šī informācija ir jāpieprasa vērtēšanai visām trīs valsts drošības iestādēm. Ja visas valsts drošības iestādes pieprasīs datus par projekta iesnieguma iesniedzēja patiesajiem labuma guvējiem, īpašniekiem un struktūru, tā būs vērtējama kā pārmērīga datu apstrāde (ieskaitot datu pieprasīšanu par vienu un to pašu personu no vairākām institūcijām), kā arī lieks birokrātisks informācijas apstrādes apjoms. Ja šādu informāciju ir plānots iegūt no citiem avotiem un šaubu gadījumā vērtēt sadarbībā ar valsts drošības iestādēm, tad lūdzam precizējošo informāciju iekļaut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Aizsardzības ministrija ir tiesīga pēc savas iniciatīvas vai pēc valsts drošības iestādes ierosinājuma atkārtoti izvērtēt un sadarbībā ar valsts drošības iestādēm sagatavot atzinumu par kopienas dalībnieka dalības kopienā atbilstību valsts drošības interesēm, ja ir saņemta informācija vai radušās aizdomas par kopienas dalībnieka neatbilstību Regulas </w:t>
            </w:r>
            <w:r w:rsidR="00000000" w:rsidRPr="00000000" w:rsidDel="00000000">
              <w:rPr>
                <w:rtl w:val="0"/>
              </w:rPr>
              <w:t xml:space="preserve">2021/887</w:t>
            </w:r>
            <w:r w:rsidR="00000000" w:rsidRPr="00000000" w:rsidDel="00000000">
              <w:rPr>
                <w:rtl w:val="0"/>
              </w:rPr>
              <w:t xml:space="preserve"> vai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prasībām vai, ja kopš kopienas dalībnieka reģistrācijas kopienas dalībnieku reģistrā ir pagājuši vismaz 12 mēneši. Ja, veicot atkārtotu izvērtējumu, konstatē šādu neatbilstību, Aizsardzības ministrija bez nepamatotas kavēšanas, bet ne vēlāk kā trīs darba dienu laikā pēc atzinuma apstiprināšanas par to informē aģentūru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atkārtota kopienas dalībnieka vērtēšana pēc tā iekļaušanas reģistrā pēc 12 mēnešiem nav pārāk īss termiņš pārvērtēšanai? Izsakām priekšlikumu atkārtotu vērtēšanu uzsākt tikai tādā gadījumā, ja ir veiktas kādas būtiskas izmaiņas attiecībā kopienas dalībnieku, tad par šo informē Aizsardzības ministriju un pēc tam ir iespējams uzsākt atkārtotu pārbaudi. Šāda shēma atvieglotu adaministratīvo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Satversmes aizsardzības biroju iekļaut pie projekta izstrādē iesaistītu institūciju uzskaitījuma "Valsts un pašvaldību institūcijas" un svītrot no sadaļas "Cits".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Centrālā finanšu un līgumu aģentūra, Militārās izlūkošanas un drošības dienests, Satversmes aizsardzības birojs, Valsts drošības dienests.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Aizsardzības ministrija ir tiesīga pēc savas iniciatīvas vai pēc valsts drošības iestādes ierosinājuma atkārtoti izvērtēt un sadarbībā ar valsts drošības iestādēm sagatavot atzinumu par kopienas dalībnieka dalības kopienā atbilstību valsts drošības interesēm, ja ir saņemta informācija vai radušās aizdomas par kopienas dalībnieka neatbilstību Regulas </w:t>
            </w:r>
            <w:r w:rsidR="00000000" w:rsidRPr="00000000" w:rsidDel="00000000">
              <w:rPr>
                <w:rtl w:val="0"/>
              </w:rPr>
              <w:t xml:space="preserve">2021/887</w:t>
            </w:r>
            <w:r w:rsidR="00000000" w:rsidRPr="00000000" w:rsidDel="00000000">
              <w:rPr>
                <w:rtl w:val="0"/>
              </w:rPr>
              <w:t xml:space="preserve"> vai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prasībām vai, ja kopš kopienas dalībnieka reģistrācijas kopienas dalībnieku reģistrā ir pagājuši vismaz 12 mēneši. Ja, veicot atkārtotu izvērtējumu, konstatē šādu neatbilstību, Aizsardzības ministrija bez nepamatotas kavēšanas, bet ne vēlāk kā trīs darba dienu laikā pēc atzinuma apstiprināšanas par to informē aģentūru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vērtēšanas periodam un atzinuma gatavošanai ir paredzēts kāds noteikts laika periods? No noteikumu projekta to nevar viennozīmīgi izsecināt. Lūdzam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04.12.2023.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04.12.2023.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Atzinumi_22-TA-3620.docx</dc:title>
</cp:coreProperties>
</file>

<file path=docProps/custom.xml><?xml version="1.0" encoding="utf-8"?>
<Properties xmlns="http://schemas.openxmlformats.org/officeDocument/2006/custom-properties" xmlns:vt="http://schemas.openxmlformats.org/officeDocument/2006/docPropsVTypes"/>
</file>