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w:t>
            </w:r>
            <w:r w:rsidR="00000000" w:rsidRPr="00000000" w:rsidDel="00000000">
              <w:rPr>
                <w:i w:val="1"/>
                <w:rtl w:val="0"/>
              </w:rPr>
              <w:t xml:space="preserve">MK noteikumos Nr. 673 pieejamā AF finansējuma vērtība un sasniedzamā mērķa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w:t>
            </w:r>
            <w:r w:rsidR="00000000" w:rsidRPr="00000000" w:rsidDel="00000000">
              <w:rPr>
                <w:i w:val="1"/>
                <w:u w:val="single"/>
                <w:rtl w:val="0"/>
              </w:rPr>
              <w:t xml:space="preserve"> vērtību vismaz 8 300 000 euro;” vērtība neatbilst precizētajam AF plāna papildinājumam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nav precizējama minētā informācija, jo minēta vērtība, kas paredzēta projekta 2. punktā jaunā redakcijā izteiktajā Ministru kabineta 2022. gada 25. oktobra noteikumu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 (turpmāk - noteikumi) 11.2. apakšpunktā, kaut domāta, šķiet, ir pašreiz spēkā esošā noteikumu 2. punkta redakcija un tajā minētā vērtība. Attiecīgi aicinām precizēt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precizēt anotācijā ietverto informāciju par projekta ietekmi vai sniegt izvērstāku pamatojumu. Proti, anotācijā ietverti tādi skaidrojumi, kā, piemēram: "</w:t>
            </w:r>
            <w:r w:rsidR="00000000" w:rsidRPr="00000000" w:rsidDel="00000000">
              <w:rPr>
                <w:i w:val="1"/>
                <w:rtl w:val="0"/>
              </w:rPr>
              <w:t xml:space="preserve">Noteikumu projekts</w:t>
            </w:r>
            <w:r w:rsidR="00000000" w:rsidRPr="00000000" w:rsidDel="00000000">
              <w:rPr>
                <w:i w:val="1"/>
                <w:u w:val="single"/>
                <w:rtl w:val="0"/>
              </w:rPr>
              <w:t xml:space="preserve"> rada priekšnoteikumus, lai</w:t>
            </w:r>
            <w:r w:rsidR="00000000" w:rsidRPr="00000000" w:rsidDel="00000000">
              <w:rPr>
                <w:i w:val="1"/>
                <w:rtl w:val="0"/>
              </w:rPr>
              <w:t xml:space="preserve">, esošajos ģeopolitiskajos apstākļos,</w:t>
            </w:r>
            <w:r w:rsidR="00000000" w:rsidRPr="00000000" w:rsidDel="00000000">
              <w:rPr>
                <w:i w:val="1"/>
                <w:u w:val="single"/>
                <w:rtl w:val="0"/>
              </w:rPr>
              <w:t xml:space="preserve"> pašvaldības, ja tiek pieņemts attiecīgs domes lēmums, varētu sniegt atbalstu Ukrainas sabiedrībai, ziedojot</w:t>
            </w:r>
            <w:r w:rsidR="00000000" w:rsidRPr="00000000" w:rsidDel="00000000">
              <w:rPr>
                <w:i w:val="1"/>
                <w:rtl w:val="0"/>
              </w:rPr>
              <w:t xml:space="preserve"> tai tādu vismaz trīs gadus (finansējuma saņēmējas) pašvaldības īpašumā esošu ar fosilās izcelsmes degvielu darbināmu M2 vai M3 kategorijas transportlīdzekli, kas ir tehniskā kārtībā un kura vecums uz projekta iesniegšanas brīdi, ņemot vērā tā pirmreizējās reģistrācijas gadu, ir vismaz 20 pilni kalendāra gadi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attiecīgais skaidrojums nebūtu precizējams, ņemot vērā, ka iespēja ziedot saskaņā ar Ukrainas civiliedzīvotāju atbalsta likuma 11. panta otro daļu pašvaldībai ir jau šobrīd, un ar projektu, šķiet, tiek pēc būtības paredzēts, ka </w:t>
            </w:r>
            <w:r w:rsidR="00000000" w:rsidRPr="00000000" w:rsidDel="00000000">
              <w:rPr>
                <w:u w:val="single"/>
                <w:rtl w:val="0"/>
              </w:rPr>
              <w:t xml:space="preserve">pašvaldība var kvalificēties atbalstam</w:t>
            </w:r>
            <w:r w:rsidR="00000000" w:rsidRPr="00000000" w:rsidDel="00000000">
              <w:rPr>
                <w:rtl w:val="0"/>
              </w:rPr>
              <w:t xml:space="preserve"> arī tad, ja attiecīgais transportlīdzeklis tiks ziedots atbilstoši Ukrainas civiliedzīvotāju atbalsta likuma 11. panta otrajai daļai (proti, šajā gadījumā nav nepieciešams pievienot noteikumu 35.1. apakšpunktā minēto apliecinājumu). Attiecīgi aicinām izvērtēt un precizēt anotācijā ietverto informāciju,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Par investīcijas ieviešanu atbildīgā nozares ministrija ir Viedās administrācijas un reģionālās attīstības ministrija, kas  saskaņā ar normatīvajiem aktiem par Eiropas Savienības Atveseļošanas fonda plāna īstenošanu un uzraudzību nodrošina investīcijas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nepieciešams pamatot visus projektā paredzētos grozījumus, aicinām anotācijā norādīt, ka izmaiņas dažās noteikumu vienībās izriet no ministrijas nosaukuma 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24-TA-1979</w:t>
    </w:r>
    <w:r>
      <w:br/>
    </w:r>
    <w:r w:rsidR="00000000" w:rsidRPr="00000000" w:rsidDel="00000000">
      <w:rPr>
        <w:rtl w:val="0"/>
      </w:rPr>
      <w:t xml:space="preserve">Izdrukāts 29.08.2024.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24-TA-1979</w:t>
    </w:r>
    <w:r>
      <w:br/>
    </w:r>
    <w:r w:rsidR="00000000" w:rsidRPr="00000000" w:rsidDel="00000000">
      <w:rPr>
        <w:rtl w:val="0"/>
      </w:rPr>
      <w:t xml:space="preserve">Izdrukāts 29.08.2024.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Atzinumi_24-TA-1979.docx</dc:title>
</cp:coreProperties>
</file>

<file path=docProps/custom.xml><?xml version="1.0" encoding="utf-8"?>
<Properties xmlns="http://schemas.openxmlformats.org/officeDocument/2006/custom-properties" xmlns:vt="http://schemas.openxmlformats.org/officeDocument/2006/docPropsVTypes"/>
</file>