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par Eiropas Savienības darbību 346.panta 1.daļas (b) apakšpunktā noteiktais paredz, ka atbalsts militārās nozares projektiem nav kvalificējami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5111 3.k. (MK noteikumi Nr.55) kritēriju metodikā ir paredzēti papildus punkti par militārās nozares projektiem, taču MKN noteikumos Nr.55 nav tieši norādīts, ka atbalsts militārās nozares projektiem nav kvalificējams kā komercdarbības atbalsts, kas savukārt rada situāciju, ka MK noteikumos ir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Izziņas 5.punktā (EM 15.10.2025. iebildums)  ir skaidrota pieeja, kādā veidā var atbalstīt militārajā nozarē darbojošos komersantus  MK noteikumu Nr.55 tvērumā. Ņemot vērā minēto, lai konkrētā pieeja būtu izsekojama un skaidra gan projekta iesniedzējiem, gan citiem interesentiem, lūdzam Izziņas 5.punktā sniegto skaidrojumu iekļaut arī MK noteikumu Nr.55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šī gada 5.novembrī notikušo ikgadējo izvērtēšanas sanāksmi ar Eiropas Komisiju, kur cita starpā tika pārrunāta arī pašvaldību uzņēmējdarbības infrastruktūras investīciju efektivitāte, anotācijā būtu jāiekļauj papildu informācija/izvērtējums par līdzšinējā atbalsta rezultātiem/vajadzības pamatojums/tirgus analīze, kas pamato pieprasījumu šādām investīcijām un tirgus interesi par nomas infrastruktūru, lai nodrošinātu, ka finansējums infrastruktūrai ļaus nodrošināt arī tās primāro mērķi pēc būtības – investīciju piesaisti reģiona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apzināmies, ka regulējuma apstiprināšanas nekavēšana ir svarīgs priekšnosacījums tālāk nekavētai investīciju virzībai; ņemot vērā saskaņošanas stadiju, kā alternatīvu/kompromisa risinājumu redzam šāda izvērtējuma nodrošināšanu līdz atlases izsludināšanai/nolikuma apstiprināšanai, attiecīgi lūdzam VARAM pirms regulējuma tālākas virzības šādu nosacījumu iekļaut anotācijā, t.sk. paredzot nodrošināt rīcību, ja veiktās analīzes rezultāti rādītu kādas nepieciešamas izmaiņas investīcijas tvērumā vai dizainā.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ir radījusi aizsardzības industrijas kapitālsabiedrība, kurā Aizsardzības ministrija ir visu kapitāla daļu turētāja, vai kapitālsabiedrība, kurā minētā aizsardzības industrijas kapitālsabiedrība ieguvusi līdzdalību vai izšķirošu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ka, lai ieskaitītu rādītāju vērtības, ir jāizpildās visiem 10.1. līdz 10.4.apakšpunktu nosacījumiem, savukārt, 10.5. būs attiecināms tikai atsevišķos gadījumos.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Laula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08.11.2025.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08.11.2025.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