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Pievienotās vērtības nodokļa izmaksas, kas radušās inovācijas kopas dalībniekiem Eiropas digitālās inovācijas centru pakalpojumu sniegšanas laikā 2.2.1.1.i. investīcijas ietvaros, var segt no valsts budžeta ne vairāk kā 1 100 000 </w:t>
            </w:r>
            <w:r w:rsidR="00000000" w:rsidRPr="00000000" w:rsidDel="00000000">
              <w:rPr>
                <w:i w:val="1"/>
                <w:rtl w:val="0"/>
              </w:rPr>
              <w:t xml:space="preserve">euro </w:t>
            </w:r>
            <w:r w:rsidR="00000000" w:rsidRPr="00000000" w:rsidDel="00000000">
              <w:rPr>
                <w:rtl w:val="0"/>
              </w:rPr>
              <w:t xml:space="preserve">apmērā. Piešķirto pievienotās vērtības nodokļa summu nevar attiecināt kā priekšnodokli.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2024.gada 19.jūnija atbildes vēstuli EM Nr.5.1-27/21/1901 "</w:t>
            </w:r>
            <w:r w:rsidR="00000000" w:rsidRPr="00000000" w:rsidDel="00000000">
              <w:rPr>
                <w:i w:val="1"/>
                <w:rtl w:val="0"/>
              </w:rPr>
              <w:t xml:space="preserve">Par PVN segšanu ANM 2.2.1.1.i. un 2.3.1.2.i. investīcijās</w:t>
            </w:r>
            <w:r w:rsidR="00000000" w:rsidRPr="00000000" w:rsidDel="00000000">
              <w:rPr>
                <w:rtl w:val="0"/>
              </w:rPr>
              <w:t xml:space="preserve">", uzturam iepriekš sniegto iebildumu un neatbalstām MK noteikumu projekta 6.punktā noteikto pievienotās vērtības nodokļa (turpmāk – PVN) segšanu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jau ir noteicis kopējus PVN finansēšanas nosacījumus no valsts budžeta Atveseļošanas un noturības mehānisma plāna investīciju īstenošanā (Ministru kabineta 2022. gada 22. marta sēdes protokola Nr.17 34.§ 9.punkts). Papildu izņēmumu paredzēšana prasītu papildu finansējumu no valsts budžeta, kas neatbilstu Ministru kabineta noteiktajai pieejai, līdz ar to PVN izmaksas 2.2.1.1.i. investīcijas ietvaros jāsedz no finansējuma saņēmēju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MK noteikumu projekta 6.punktu (6.</w:t>
            </w:r>
            <w:r w:rsidR="00000000" w:rsidRPr="00000000" w:rsidDel="00000000">
              <w:rPr>
                <w:vertAlign w:val="superscript"/>
                <w:rtl w:val="0"/>
              </w:rPr>
              <w:t xml:space="preserve">1</w:t>
            </w:r>
            <w:r w:rsidR="00000000" w:rsidRPr="00000000" w:rsidDel="00000000">
              <w:rPr>
                <w:rtl w:val="0"/>
              </w:rPr>
              <w:t xml:space="preserve"> punktu MK noteikumu konsolidētajā versijā), ar to saistītās normas MK noteikumu projektā un informāciju anotācijā, kā arī protokollēmuma 3.,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apakšsadaļā "8. Veikti tehniski precizējumi" norādīts, ka ņemot vērā to, ka 2.2.1.1.i. investīcijas īstenošanas laikā ir veiktas izmaiņas Atveseļošanas fonda un programmas “Digitālā Eiropa” izmaksu attiecināšanā, kā arī grozījumiem Atveseļošanas fonda plānā un Darbības kārtībā attiecībā uz sasniedzamajiem rādītājiem, tad rādītāju sasniegšana līdz 2024.gada 30. jūnijam, ņemot vērā ierobežoto komersantu skaitu, kas var tikt ieskaitīts rādītājā, rādītāja sasniegšana ir procesā, vienlaikus var nebūt pilnīgi sasniegta līdz noteiktajam atskaites termiņam. MK noteikumu Nr. 577 10.1.1. apakšpunktā noteikto mērķi finansējuma saņēmējs var atskaitīties sasniegt līdz 2024.gada 31.decembrim, ievadot Kohēzijas politikas fondu vadības informācijas sistēmā informāciju par atbalstītajiem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aizstāt vārdu salikumu "atskaitīties sasniegt" 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ierobežoto komersantu skaitu (t.i. vienības, kas nav liela kapitāla, vienības, kas nav publiskā sektora vienības), kas var tikt ieskaitīts rādītājā, rādītāja sasniegšanai un ņemot vērā šobrīd pieejamo informāciju, CFLA ieskatā pastāv ļoti augsts risks MK noteikumu Nr. 577 10.1.1. apakšpunktā noteiktā mērķa nesasniegšanai arī uz 2024.gada 31.decembri. Aicinām atkārtoti izvērtēt iekļautos nosacījumus, kuri kardināli mainījušies projekta īstenošanas laikā un negatīvi ietekmē vai var ietekmēt 2.2.1.1.i. investīcijai noteikto uzraudzības rādītāju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2.2.1.1.i. investīcijas īstenošanas laikā ir veiktas izmaiņas Atveseļošanas fonda un programmas “Digitālā Eiropa” izmaksu attiecināšanā, kā arī grozījumiem Atveseļošanas fonda plānā un Darbības kārtībā attiecībā uz sasniedzamajiem rādītājiem, tad rādītāju sasniegšana līdz 2024.gada 30. jūnijam, ņemot vērā ierobežoto komersantu skaitu, kas var tikt ieskaitīts rādītājā, rādītāja sasniegšana ir procesā, vienlaikus var nebūt pilnīgi sasniegta līdz noteiktajam atskaites termiņam. MK noteikumu Nr. 577 10.1.1. apakšpunktā noteikto mērķi finansējuma saņēmējs var sasniegt līdz 2024.gada 31.decembrim, ievadot Kohēzijas politikas fondu vadības informācijas sistēmā informāciju par atbalstītajiem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ņemt vērā, ka paralēli noteikumu projekta virzīšanai uz Ministru kabinetu nepieciešams arī Eiropas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 līdz 2024. gada 30. jūnijam vienībām, kas nav mazie un vidējie komersanti, komersanti ar vidēji lielu kapitālu vai publiskais sektors, izsniegto digitālās attīstības ceļa karšu skaits – 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termina "komersants" un "vienība" lietojumu MK noteikumu 10.1.1. un 10.1.2.apakšpunktos, lai nodrošinātu rādītāju redakciju atbilstību Padomes īstenošanas lēmumam (CID) un Darbības kārtībai, kā arī anotācijā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avansa maksājumu, kas nepārsniedz 30 % no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Atveseļošanas fonda finansējuma vienai inovācijas kopai un 6.</w:t>
            </w:r>
            <w:r w:rsidR="00000000" w:rsidRPr="00000000" w:rsidDel="00000000">
              <w:rPr>
                <w:vertAlign w:val="superscript"/>
                <w:rtl w:val="0"/>
              </w:rPr>
              <w:t xml:space="preserve">1</w:t>
            </w:r>
            <w:r w:rsidR="00000000" w:rsidRPr="00000000" w:rsidDel="00000000">
              <w:rPr>
                <w:rtl w:val="0"/>
              </w:rPr>
              <w:t xml:space="preserve"> punktā noteikto valsts budžeta finansējumu pievienotā vērtības nodokļa apmēru, un tas ir jāapgūst sešu mēnešu laikā saimnieciskā gada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45.1. apakšpunkta redakciju. Skaidrojam, ka avansa maksājuma apmēru plāno no </w:t>
            </w:r>
            <w:r w:rsidR="00000000" w:rsidRPr="00000000" w:rsidDel="00000000">
              <w:rPr>
                <w:b w:val="1"/>
                <w:rtl w:val="0"/>
              </w:rPr>
              <w:t xml:space="preserve">projektā paredzētā publiskā finansējuma apmēra</w:t>
            </w:r>
            <w:r w:rsidR="00000000" w:rsidRPr="00000000" w:rsidDel="00000000">
              <w:rPr>
                <w:rtl w:val="0"/>
              </w:rPr>
              <w:t xml:space="preserve">, proti, finansējuma, kas ir paredzēts konkrētā projekta īstenošanai. Ņemot vērā minēto, lūdzam svītrot no minētās normas vārdus un skaitļus "un 6.</w:t>
            </w:r>
            <w:r w:rsidR="00000000" w:rsidRPr="00000000" w:rsidDel="00000000">
              <w:rPr>
                <w:vertAlign w:val="superscript"/>
                <w:rtl w:val="0"/>
              </w:rPr>
              <w:t xml:space="preserve">1</w:t>
            </w:r>
            <w:r w:rsidR="00000000" w:rsidRPr="00000000" w:rsidDel="00000000">
              <w:rPr>
                <w:rtl w:val="0"/>
              </w:rPr>
              <w:t xml:space="preserve"> punktā noteikto valsts budžeta finansējumu pievienotā vērtības nodokļa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20.06.2024.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