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Likumprojekta “Grozījumi likumā “Par interešu konflikta novēršanu valsts amatpersonu darbībā””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“Grozījumi likumā “Par interešu konflikta novēršanu valsts amatpersonu darbībā””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 formulējuma (“b”, “c” un “d” apakšpunkti) ņemt vērā jau KNAB sniegto viedokli.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6.pantu ar 2¹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(2¹). Valsts amatpersonai, ievērojot šā likuma 7. panta otrajā, trešajā, ceturtajā, piektajā, piektajā prim un sestajā daļā noteiktos speciālos amatu savienošanas ierobežojumus, ir atļauts īslaicīgi savienot valsts amatpersonas amatu ar ne vairāk kā vienu padomes locekļa amatu likuma 1. panta 8. punkta “b”, “c” un ”d” apakšpunktos minētajā kapitālsabiedrībā, ja attiecīgā amatpersona iecelta padomes locekļa amatā atbilstoši Publiskas personas kapitāla daļu un kapitālsabiedrību pārvaldības likuma 31. panta astotās daļas 2. punktam un 37.panta panta astotās daļas 2. punktam. Šajā daļā minētā amatu savienošana pieļaujama, ja tā nerada interešu konfliktu, nav pretrunā ar valsts amatpersonai saistošām ētikas normām un nekaitē valsts amatpersonas tiešo pienākumu pildīšanai. Atkārtoti šāda amatu savienošana pieļaujama, ja pagājis gads kopš valsts amatpersona beigusi pildīt pagaidu padomes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joprojām skaidrot (anotācijā tas nav darīts), kā plānotais saskan ar 6.panta otrajā daļā noteikto, ka “atļauts savienot valsts amatpersonas amatu ne vairāk kā ar diviem citiem algotiem vai citādi atlīdzinātiem valsts amatpersonas amatiem vai amatiem citās publiskas personas institūcijās”, proti, piemēram, vai amatiem, kuriem amatu savienošana noteikta 7.panta sestajā daļā, būs saistoši, ka var savienot ar 2 amatiem publiskas personas insitūcijās (6.panta otrās daļas regulējums) + īslaicīgi ar ne vairāk kā vienu padomes locekļa amatu (plānotais 6.panta 2.prim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vēl 3 amatus drīkstēs savienot, bet tas būtu īslaicīgi?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domes priekšsēdētājs un viņa vietnieks, kurš ieņem algotu amatu pašvaldības domē, pašvaldības izpilddirektors un viņa vietnieks, publiskas personas iestādes vadītājs un viņa vietnieks, Valsts prezidenta kancelejas vadītājs un viņa vietnieks, Saeimas Administrācijas ģenerālsekretārs, pagasta vai pilsētas pārvaldes vadītājs novada pašvaldībā, kā arī šā likuma 1. panta 8. punkta “b”, “c” un “d” apakšpunktā minētās kapitālsabiedrības valdes loceklis papildus šā likuma 6. panta ceturtajā daļā noteiktajam var savienot valsts amatpersonas amatu tikai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amatu arodbiedrībā, biedrībā vai nodibinājumā, politiskajā partijā, politisko partiju apvienībā vai reliģiskajā organizācijā, ja šā panta septītajā 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šādiem amatiem, ja tas nerada interešu konfliktu un ir saņemta tās valsts amatpersonas vai koleģiālās institūcijas rakstveida atļauja, kura attiecīgo personu iecēlusi, ievēlējusi vai apstiprinājusi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vienu citu atalgotu vai citādi atlīdzinātu amatu publiskas personas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eksperta (konsultanta) darbu, kura izpildes vieta ir citas valsts administrācija, starptautiskā organizācija vai tās pārstāvniecība (misija).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 jo nav nozīmes amatu skaitam (šobrīd samazinot uz 1+1 atļauto (līdz šim bija 1+2) amatu publiskas personas institūcijā), bet gan apstāklim, lai netraucē pildīt amata pienākumus un neatrodas interešu konfliktā. Jāvērtē potenciālais interešu konflikts un tas, vai netraucēs veikt pamatdarbu, nevis amatu vai atlīdzinājuma esamība/neesamība. Minētais ierobežojums ir nesamērīgs – nav sniegts pamatojums, kādēļ tieši šīm amatu grupām turpmāk būtu atļaujams tikai 1 amats publiskas personas institūcijā, ja līdz šim bija pieļauti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8.1 panta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Lēmumu par atteikšanos izsniegt atļauju vai atļaujas izsniegšanu amatu savienošanai pieņem un noformē Administratīvā procesa likumā noteiktajā kārtībā. Lēmumu atļaut savienot valsts amatpersonas amatu ar citu amatu var noformēt arī rezolūcijas veidā, izņemot gadījumu, ja atļauju amatu savienošanai lūdz šī likuma 7.panta trešajā daļā vai 7.panta ceturtajā daļā vai 7.panta piektajā daļā minētā amatpersona. Lēmumu reģistrācijas kārtību nosaka institūcijas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būtu jāizdala veids, kā noformē atteikumu, ņemot vērā, kura amatpersona atļauju lūgusi. Administratīvais akts ir administratīvais akts un noformēšanas prasībām būtu jābūt vienādām saskaņā ar Administratīvā procesa likumu, neatkarīgi no tā, cik nozīmīga/nenozīmīga amatpersona tā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24.04.2024. 20.47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24.04.2024. 20.47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Atzinumi_23-TA-1346.docx</dc:title>
</cp:coreProperties>
</file>

<file path=docProps/custom.xml><?xml version="1.0" encoding="utf-8"?>
<Properties xmlns="http://schemas.openxmlformats.org/officeDocument/2006/custom-properties" xmlns:vt="http://schemas.openxmlformats.org/officeDocument/2006/docPropsVTypes"/>
</file>