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atsauc 2025. gada 4. februāra atzinumā ietverto iebildumu. Vienlaikus lūdzam papildināt anotāciju, uz kuriem pakalpojumiem attiecināms likumprojekta regulējums vai arī noteikt izņēmumus -  pakalpojumus, uz kuriem likumprojektā ietvertais regulējums nebūs attiecināms. Pašlaik nerodas pārliecība, ka izstrādātais likumprojekts neskar plašāku pakalpojumu loku, piemēram, transporta nozares pakalpojumus, kuru ietvaros jānodrošina drošums un drošība (skatīt ar Ministru kabineta 2021.gada 21.oktobra rīkojumu Nr.710 apstiprinātās Transporta attīstības pamatnostādnes 2021. - 2027.gadam, kurās drošība un drošums ir minēts kā būtisks nosacījums transporta nozares pakalpojumu attīstībā).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17.02.2025.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17.02.2025.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