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 apakšpunkts noteic pasākumu izvērtēt nepieciešamību izstrādāt metodiskos norādījumus, nosakot  pienākumu, veicot trešo valstu pilsoņu pārbaudes  savas kompetences ietvaros, pārbaudīt arī trešo valstu pilsoņu tiesisko statusu un uzturēšanās dokumenta derīgumu. Par minēto pasākumu kā viena no atbildīgajām institūcijām ir noteikta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Imigrācijas likumam un citiem likumiem nav konstatēta pašvaldības policijas kompetence veikt trešo valstu pilsoņu pārbaudes un pārbaudīt trešo valstu pilsoņu tiesisko statusu un uzturēšanās dokumenta derīgumu.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informatīvā ziņojuma 3.5. apakšpunkta pašvaldības policiju kā atbildīgo institūciju. Vienlaikus, ja tiktu noteikta pašvaldības policijas kompetence trešo valstu pilsoņu pārbaužu veikšanā, metodiskie norādījumi būtu izstrādājami centralizēti attiecībā uz visām institūcijām, kam būtu noteikta šāda kompetence, nevis katrā institūcijā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08.04.2025.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08.04.2025.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