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23-TA-3236: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izsniedz atļauju laukuma izmantošanai jūras piekrastes ūdeņos un sauszemē tūrismam un rekreācijai paredzētu pirmās vai otrās grupas inženierbūvju būvniecībai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Pēc šo noteikumu 4.punktā noteiktā lēmuma pieņemšanas pašvaldība rīko atklātu konkursu par tiesībām izmantot jūras piekrastes ūdeņus un sauszemi atbilstoši publisko ūdeņu nomu regulējošo normatīvo aktu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neapbūvēta zemesgabala iznomāšana regulē Ministru kabineta 2018.gada 19.jūnija noteikumi Nr.350 "Publiskas personas zemes nomas un apbūves tiesības noteikumi". Šie noteikumi neattiecas uz ūdenstilpju iznomāšanu (sk. šo noteikumu 2.1.apakšpunktu), tomēr konkrētajā gadījumā būtu jāņem vērā, ka jūras piekrastes ūdeņi netiks izmantoti kāda pakalpojuma sniegšanai, bet būvju būvniecībai šajos ūdeņos uz gultnes jeb zemes zem šiem ūdeņiem. Skatoties no šāda aspekta, šajos noteikumos ietvertais regulējums konkrētā problēmjautājuma risināšanai ir piemērotāks nekā Ministru kabineta 2022.gada 15.novembra noteikumi Nr. 719 "Publisko ūdeņu nomas noteikumi", kas nosaka kārtību, kādā tiek iznomāti publiskie ūdeņi – iekšzemes publiskie ūdeņi, proti, neattiecas uz jūras piekrastes ūdeņiem. Pie tam, Ministru kabineta 2018.gada 19.jūnija noteikumi Nr.350 "Publiskas personas zemes nomas un apbūves tiesības noteikumi" detalizētāk apskata arī jautājumus par tiesiskajām attiecībām starp pusēm saistībā ar būves, kuras būvētas pamatojoties uz nomas līgumu (sk., piemēram, šo noteikumu 66. un 67.punkts). Ņemot vērā iepriekš minēto, lūdzam izvērtēt iespēju precizēt noteikumu projektu paredzot, ka piemērojami ir Ministru kabineta 2018.gada 19.jūnija noteikumi Nr.350 "Publiskas personas zemes nomas un apbūves tiesības noteikumi".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Lazarevs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Pretendentam, kurš uzvarējis konkursā, pašvaldība izsniedz atļauju laukuma jūrā un sauszemē izmantošanai šo noteikumu 1.punktā minēto inženierbūvju būvniecībai konkrētajā būvniecības vietā ne ilgāku par 12 gadiem, ievērojot publisko ūdeņu nomu regulējošo normatīvo aktu nosacījumus. Atļaujā iekļauj nepieciešamos nosacījumus būves ekspluatācijai, uzturēšanai un nojaukšanai pēc darbības izbeigšanas.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12 gadi var nebūt pietiekams termiņš, lai investors spētu atpelnīt plānotos ieguldījumus otrās grupas inženierbūvju būvniecībai jūras piekrastes ūdeņos. Līdz ar to, lūdzam šo termiņu noteikt saskaņā ar Publiskas personas finanšu līdzekļu un mantas izšķērdēšanas novēršanas likuma 6.</w:t>
            </w:r>
            <w:r w:rsidR="00000000" w:rsidRPr="00000000" w:rsidDel="00000000">
              <w:rPr>
                <w:vertAlign w:val="superscript"/>
                <w:rtl w:val="0"/>
              </w:rPr>
              <w:t xml:space="preserve">1</w:t>
            </w:r>
            <w:r w:rsidR="00000000" w:rsidRPr="00000000" w:rsidDel="00000000">
              <w:rPr>
                <w:rtl w:val="0"/>
              </w:rPr>
              <w:t xml:space="preserve"> panta pirmo daļu. Proti, līdz 30 gadiem vai sniegt izvērstu argumentāciju anotācijā tik mazam nomas līguma termiņam un sabiedrības ieguvumam no 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Andris Lazarevs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23-TA-3236</w:t>
    </w:r>
    <w:r>
      <w:br/>
    </w:r>
    <w:r w:rsidR="00000000" w:rsidRPr="00000000" w:rsidDel="00000000">
      <w:rPr>
        <w:rtl w:val="0"/>
      </w:rPr>
      <w:t xml:space="preserve">Izdrukāts 08.01.2024. 13.20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23-TA-3236</w:t>
    </w:r>
    <w:r>
      <w:br/>
    </w:r>
    <w:r w:rsidR="00000000" w:rsidRPr="00000000" w:rsidDel="00000000">
      <w:rPr>
        <w:rtl w:val="0"/>
      </w:rPr>
      <w:t xml:space="preserve">Izdrukāts 08.01.2024. 13.20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Atzinumi_23-TA-3236.docx</dc:title>
</cp:coreProperties>
</file>

<file path=docProps/custom.xml><?xml version="1.0" encoding="utf-8"?>
<Properties xmlns="http://schemas.openxmlformats.org/officeDocument/2006/custom-properties" xmlns:vt="http://schemas.openxmlformats.org/officeDocument/2006/docPropsVTypes"/>
</file>