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23-TA-2853: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8.punktā sniegtajai informācijai Iekšlietu ministrijai būs nepieciešams papildu finansējums Valsts policijai noteikto funkciju veikšanai, līdz ar to lūdzam papildināt anotāciju, norādot, kurā gadā, kādā apmērā un kādam mērķim būs nepieciešams papildu finansējums, kā arī tā avotu. Vienlaikus vēršam uzmanību, ka gadījumā, ja Otrā papildu protokola 7.pantā noteikto normu izpildei ir nepieciešams papildu finansējums, kuram nav rasts avots, tad likumprojekta virzība ir atliekama līdz brīdim, kad tiks atrisināts jautājums par tā izpildei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Atzinumi_23-TA-2853.docx</dc:title>
</cp:coreProperties>
</file>

<file path=docProps/custom.xml><?xml version="1.0" encoding="utf-8"?>
<Properties xmlns="http://schemas.openxmlformats.org/officeDocument/2006/custom-properties" xmlns:vt="http://schemas.openxmlformats.org/officeDocument/2006/docPropsVTypes"/>
</file>