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reģionālās attīstības aģentūras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ziņojumā sniegto informāciju par augstas gatavības pašvaldību investīciju projektiem, lūdzam svītrot informāciju par Ministru kabineta 2021. gada 13.maija noteikumiem Nr. 242 “Augstas gatavības pašvaldību investīciju projektu pieteikšanas, izskatīšanas un finansējuma piešķiršanas kārtība”, kas ir izdoti saskaņā ar Covid-19 infekcijas izplatības seku pārvarēšanas likuma 24.</w:t>
            </w:r>
            <w:r w:rsidR="00000000" w:rsidRPr="00000000" w:rsidDel="00000000">
              <w:rPr>
                <w:vertAlign w:val="superscript"/>
                <w:rtl w:val="0"/>
              </w:rPr>
              <w:t xml:space="preserve">2</w:t>
            </w:r>
            <w:r w:rsidR="00000000" w:rsidRPr="00000000" w:rsidDel="00000000">
              <w:rPr>
                <w:rtl w:val="0"/>
              </w:rPr>
              <w:t xml:space="preserve">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sniegto informāciju par Ministru kabineta 2022. gada 8. februāra noteikumiem Nr. 112 “Kārtība, kādā piešķiramas un izlietojamas mērķdotācijas investīcijām pašvaldībām” vēršam uzmanību, ka tie attiecas uz pašvaldību investīciju mērķdotāciju programmu, attiecīgi lūdzam izvērtēt, vai tiešām informācija saistībā ar šiem noteikumiem var tikt attiecināta tikai uz augstas gatavības pašvaldību investīciju projektiem, un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(Ilze Kote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iepriekšējā atzinumā sniegto iebildumu, ka ziņojumā ir jāsniedz novērtējums par iespējamām izmaksām (ietekme uz valsts budžetu), kā arī nepieciešamajiem cilvēkresursiem (ietekme uz valsts pārvaldes darbinieku skaitu (amata vietas)), kas saistīts ar ziņojumā norādīto par izvēršamajām un papildus attīstāmajām funkcijām. Piekrītam, ka detalizēts plāns var tikt izstrādāts vēlāk, bet šobrīd ir jāsniedz indikatīvs novērtējums. Ņemot vērā ziņojumā norādīto, ka Vides aizsardzības un reģionālās attīstības ministrija  finansējuma jautājumu plāno pieteikt kā prioritāro pasākumu likumprojekta “Par valsts budžetu 2025. gadam un budžeta ietvaru 2025., 2026. un 2027. gadam” sagatavošanas procesā, tad novērtējumam ir jābūt augstā gatavības pakāpē. Lūdzam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(Ilze Kote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šajā informatīvajā ziņojumā un 24-TA-299 Rīkojuma projektā “Par Valsts reģionālās attīstības aģentūras reorganizāciju” (turpmāk - rīkojums) iekļauto informāciju par Eiropas Savienības fondu un citu finanšu instrumentu finansēto aktivitāšu ieviešanu un uzraudzību, kā arī pēcuzraudzību. Rīkojuma 3.punktā norādīts, ka Eiropas Savienības fondu un citu finanšu instrumentu finansēto aktivitāšu ieviešana un uzraudzība, kā arī pēcuzraudzība atbilstoši normatīvajos aktos noteiktajam deleģējumam tiek nodota Vides aizsardzības un reģionālās attīstības ministrijai, rīkojuma anotācijā un izziņā, atsaucoties uz iepriekš sniegtajiem komentāriem, ka VRAA turpinās visu saistību izpildi, kas izriet no projektiem atbilstoši savai lomai, tostarp, nodrošinot pēcuzraudzību, bet ziņojumā norādīts, ka "</w:t>
            </w:r>
            <w:r w:rsidR="00000000" w:rsidRPr="00000000" w:rsidDel="00000000">
              <w:rPr>
                <w:i w:val="1"/>
                <w:rtl w:val="0"/>
              </w:rPr>
              <w:t xml:space="preserve">attiecībā uz Kohēzijas programmas 2021.-2027. gadam un Atveseļošanas fonda reformu (IKT jomā) projektu īstenošanu Valsts digitālās attīstības aģentūra turpinās VRAA uzņemtās saistības. VARAM uzsver, ka nav pamata bažām par apstiprināto uzraudzības rādītāju sasniegšanu un minēto ieguldījumu ieviešanu pilnā apjomā.  Valsts digitālās attīstības aģentūra turpinās visus IKT projektus, ko šobrīd īsteno VRAA.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08.03.2024.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08.03.2024.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Atzinumi_24-TA-305.docx</dc:title>
</cp:coreProperties>
</file>

<file path=docProps/custom.xml><?xml version="1.0" encoding="utf-8"?>
<Properties xmlns="http://schemas.openxmlformats.org/officeDocument/2006/custom-properties" xmlns:vt="http://schemas.openxmlformats.org/officeDocument/2006/docPropsVTypes"/>
</file>