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15. maija noteikumos Nr. 339 "Noteikumi par ostu formalitātēm"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izvērsti skaidrot pamatojumu, kādēļ noteikumu projekts stājas spēkā 2027. gada 1. janvārī (tostarp kādēļ netiek diferencēts spēkā stāšanās termiņš vairākām noteikumu projekta normām), ņemot vērā, ka daļa izmaiņu, piemēram, saistībā ar Jūrlietu pārvaldes un jūras drošības likuma 2025. gada 30. aprīļa grozījumiem (ar kuriem ieviesta regula) stāsies spēkā jau 2025. gada 15. augustā. Nepieciešamības gadījumā lūdzam precizēt noteikumu projekta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 sadaļā norādīt konkrētas grozīto Ministru kabineta noteikumu vienības, ar kurām ieviestas Komisijas 2022. gada 7. novembra Deleģētā regulas (ES) 2023/205, ar ko attiecībā uz Eiropas Jūras vienloga sistēmas vides datu kopas izveidi papildina Eiropas Parlamenta un Padomes Regulu (ES) 2019/1239 un groza tās pielikumu, 2. panta prasības, skaidrot atbildīgo iestādi par minētā panta prasību ieviešanu pilnībā, kā arī termiņu attiecīgo grozījumu iesniegšanai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 sadaļā precīzāk (proti, punktu un apakšpunktu līmenī, nevis nodaļu un apakšnodaļu līmenī) norādīt grozīto Ministru kabineta noteikumu vienības, ar kurām pārņemtas Eiropas Savienības direktīvu vienības, piem., Eiropas Parlamenta un Padomes 2002.gada 27.jūnija Direktīvas 2002/59/EK, ar ko izveido Kopienas kuģu satiksmes uzraudzības un informācijas sistēmu un atceļ Padomes Direktīvu 93/75/EEK,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projektā ietvertie grozījumi 22., 24. un 69. punkta apakšpunktos nosaka personas datu apstrādi, lūdzam atzīmēt, ka noteikumu projekts ietekmē personas datu aizsardzību, un aizpildīt anotācijas 8.1.13. apakšsadaļu atbilstoši Valsts kancelejas izstrādātajām vadlīnijām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konvencijas 7.8. standarts paredz pienākumu atvieglot kuģu ienākšanu un iziešanu arī citos gadījumos, ne vien grozīto Ministru kabineta noteikumu 111. punktā minētajos, tostarp arī tādu personu glābšanā, kuras ir briesmās uz jūras, lai šīm personām nodrošinātu drošu vietu u.tml., tādēļ lūdzam izvērtēt un anotācijas 5.5. apakšsadaļas 2. tabulā ietverto skaidrojumu papildināt, ar kādām citām nacionālo normatīvo aktu vienībām ir ieviests minētais standarts. Nepieciešamības gadījumā aicinām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notiek ar kuģa ienākšanu, kuģa stāvēšanu ostā un kuģa iziešanu no ostas saistīto ziņošanas pienākumu (turpmāk — ostu formalitātes) kārtošana un uz pasažieru kuģa esošo personu reģistrācija.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 108 "Normatīvo aktu projektu sagatavošanas noteikumi" 100.2. apakšpunktu, lūdzam grozīto Ministru kabineta noteikumu 1. punktā vārdus "kuģa stāvēšanu" aizstāt ar vārdiem "un palikšanu". Nepieciešamības gadījumā lūdzam precizēt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bīstamo kravu bīstamības klasi (kodu) iesniedz saskaņā ar IMDG, IBC, IGC vai IMSBC kodeksu;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1.20. apakšpunktu varētu tikt izpildītas (ieviestas) arī IMDG, IBC, IGC vai IMSBC kodeksu prasības, lūdzam izvērtēt un nepieciešamības gadījumā papildināt noteikumu projekta anotācijas 5. sadaļu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noteikumu projekta 1.45. apakšpunktā ietverto grozījumu lūdzam izvērtēt un noteikumu projekta anotācijas 5. sadaļā skaidrot arī 1979. gada Starptautiskās konvencijas par meklēšanu un glābšanu jūrā (SAR konvencija) ieviešanu (izpildi) ar noteikumu projektu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uz kuģa, kas paredzējis ienākt Latvijas ostā, ienācis Latvijas ostā vai iziet no Latvijas ostas, ir persona, kas nokļuvusi un uzturas uz tā nelegāli, kuģa kapteinis (atpūtas kuģa vadītājs) vai īpašnieks, vai kuģošanas kompānija, vai to pilnvarota persona par to nekavējoties paziņo Valsts robežsardzei un Krasta apsardzes dienestam, izmantojot Starptautisko kravu loģistikas un ostu informācijas sistēmu (SKLOIS) vai jebkurus citus pieejamos saziņas līdzekļus. Ja paziņo, izmantojot Starptautisko kravu loģistikas un ostu informācijas sistēmu (SKLOIS), iesniedz EMSWe datu kopā ietvertos datu elementus. Ja paziņo, izmantojot jebkurus citus pieejamos saziņas līdzekļus, iesniedz FAL konvencijas pielikuma 3. pielikuma veidlapu saziņas līdzeklim atbilstošā formā. Starptautiskajā kravu loģistikas un ostu informācijas sistēmā (SKLOIS) vai FAL konvencijas pielikuma 3. pielikuma veidlapā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projektā korekti izdarītas atsauces uz FAL konvenciju (šobrīd noteikumu projektā vairākos gadījumos izdarītas atsauces uz pielikuma pielikumiem, piem., "pielikuma 3. pielikuma"), un precizēt noteikumu projektu. Norādām, ka no noteikumu projekta neizriet, vai ar minētajām atsaucēm domātas FAL konvencijas grozījumu pielikumā ietvertās grozītās šīs konvencijas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Šo noteikumu </w:t>
            </w:r>
            <w:r w:rsidR="00000000" w:rsidRPr="00000000" w:rsidDel="00000000">
              <w:rPr>
                <w:rtl w:val="0"/>
              </w:rPr>
              <w:t xml:space="preserve">109.</w:t>
            </w:r>
            <w:r w:rsidR="00000000" w:rsidRPr="00000000" w:rsidDel="00000000">
              <w:rPr>
                <w:rtl w:val="0"/>
              </w:rPr>
              <w:t xml:space="preserve"> un </w:t>
            </w:r>
            <w:r w:rsidR="00000000" w:rsidRPr="00000000" w:rsidDel="00000000">
              <w:rPr>
                <w:rtl w:val="0"/>
              </w:rPr>
              <w:t xml:space="preserve">110.</w:t>
            </w:r>
            <w:r w:rsidR="00000000" w:rsidRPr="00000000" w:rsidDel="00000000">
              <w:rPr>
                <w:rtl w:val="0"/>
              </w:rPr>
              <w:t xml:space="preserve">punkts stājas spēkā ar 2012.gada 1.jūliju.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svītrot attiecīgo grozījumu, jo konkrētais uzdevums jau ir 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25-TA-592</w:t>
    </w:r>
    <w:r>
      <w:br/>
    </w:r>
    <w:r w:rsidR="00000000" w:rsidRPr="00000000" w:rsidDel="00000000">
      <w:rPr>
        <w:rtl w:val="0"/>
      </w:rPr>
      <w:t xml:space="preserve">Izdrukāts 25.07.2025. 19.13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25-TA-592</w:t>
    </w:r>
    <w:r>
      <w:br/>
    </w:r>
    <w:r w:rsidR="00000000" w:rsidRPr="00000000" w:rsidDel="00000000">
      <w:rPr>
        <w:rtl w:val="0"/>
      </w:rPr>
      <w:t xml:space="preserve">Izdrukāts 25.07.2025. 19.13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Atzinumi_25-TA-592.docx</dc:title>
</cp:coreProperties>
</file>

<file path=docProps/custom.xml><?xml version="1.0" encoding="utf-8"?>
<Properties xmlns="http://schemas.openxmlformats.org/officeDocument/2006/custom-properties" xmlns:vt="http://schemas.openxmlformats.org/officeDocument/2006/docPropsVTypes"/>
</file>