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23-TA-1107: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4.3.6. specifiskā atbalsta mērķa "Veicināt nabadzības vai sociālās atstumtības riskam pakļauto cilvēku, tostarp vistrūcīgāko un bērnu, sociālo integrāciju" 4.3.6.4. pasākuma "Atbalsta instrumentu izstrāde un ieviešana ģimenes funkcionalitātes stiprināšanai" otrās kārtas īstenošanas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26.2. izstrādā iekšējās kontroles sistēmu, ietverot tajā informāciju par interešu konflikta, krāpšanas, korupcijas risku un dubultā finansējuma novēršanas mehānismiem;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dzēst noteikumu projekta 26.2.apakšpunktu, jo tajā iekļautā prasība - finansējuma  saņēmējam izstrādāt Iekšējās kontroles sistēmu, nav attiecināma uz privāto tiesību subjektiem (dotajā gadījumā biedrībām, nodibinājumiem un komersantiem), ņemot vērā, ka finansējuma saņēmējs nepieņem lēmumus par tālāku finansējuma piešķiršanu/sadali. Tādējādi no interešu konflikta jautājuma viedokļa, finansējuma saņēmējs saņem finansējumu un piesaista personālu, kā arī iepērk nepieciešamos materiālus u.c. atbilstoši </w:t>
            </w:r>
            <w:r w:rsidR="00000000" w:rsidRPr="00000000" w:rsidDel="00000000">
              <w:rPr>
                <w:u w:val="single"/>
                <w:rtl w:val="0"/>
              </w:rPr>
              <w:t xml:space="preserve">MK noteikumiem Nr.104*, kuros interešu konflikts jau tiek regulēts</w:t>
            </w:r>
            <w:r w:rsidR="00000000" w:rsidRPr="00000000" w:rsidDel="00000000">
              <w:rPr>
                <w:rtl w:val="0"/>
              </w:rPr>
              <w:t xml:space="preserve">. Līdz ar to visas prasības par interešu konfliktu, iekšējās kontroles sistēmu (ietverot korupciju) un arī Finanšu regulas 61.pants uz šo finansējuma saņēmēju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vertAlign w:val="superscript"/>
                <w:rtl w:val="0"/>
              </w:rPr>
              <w:t xml:space="preserve"> </w:t>
            </w:r>
            <w:r w:rsidR="00000000" w:rsidRPr="00000000" w:rsidDel="00000000">
              <w:rPr>
                <w:vertAlign w:val="subscript"/>
                <w:rtl w:val="0"/>
              </w:rPr>
              <w:t xml:space="preserve">Ministru kabineta 2017. gada 28. februāra noteikumos Nr. 104 "Noteikumi par iepirkuma procedūru un tās piemērošanas kārtību pasūtītāja finansētiem projektiem"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arī atbilstoši precizēt anotācijā iekļauto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Čāčus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 Ar komercdarbības atbalsta saņemšanu saistītie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atbilstoši Komisijas 2023. gada 13. decembra Regulas (ES) 2023/2831 par Līguma par Eiropas Savienības darbību 107. un 108. panta piemērošanu de minimis atbalstam un Ministru kabineta 2018. gada 21. novembra noteikumos Nr. 715 "De minimis atbalsta uzskaites un piešķiršanas kārtība" noteiktajam, atbalsta sniedzējam un atbalsta pretendentam ir pienākums ievērot de minimis atbalsta piešķiršanas nevis tā saņemšanas nosacījumus. Lai nodrošinātu atbilstību iepriekš minēto normatīvo aktu prasībām, aicinām precizēt noteikumu projekta nodaļas "V. Ar komercdarbības atbalsta saņemšanu saistītie nosacījumi" nosaukumu un aizstāt vārdu “saņemšanu” ar vārdu “piešķiršanu”.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Sarma Liepa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32.3. atbalsta pretendents, iesniedzot atbalsta sniedzējam pieteikumu </w:t>
            </w:r>
            <w:r w:rsidR="00000000" w:rsidRPr="00000000" w:rsidDel="00000000">
              <w:rPr>
                <w:i w:val="1"/>
                <w:rtl w:val="0"/>
              </w:rPr>
              <w:t xml:space="preserve">de minimis</w:t>
            </w:r>
            <w:r w:rsidR="00000000" w:rsidRPr="00000000" w:rsidDel="00000000">
              <w:rPr>
                <w:rtl w:val="0"/>
              </w:rPr>
              <w:t xml:space="preserve"> atbalsta saņemšanai, pieteikumam pievieno sistēmā sagatavotās veidlapas izdruku vai norāda sistēmā sagatavotās pretendenta veidlapas identifikācijas numuru saskaņā ar normatīvajiem aktiem par </w:t>
            </w:r>
            <w:r w:rsidR="00000000" w:rsidRPr="00000000" w:rsidDel="00000000">
              <w:rPr>
                <w:i w:val="1"/>
                <w:rtl w:val="0"/>
              </w:rPr>
              <w:t xml:space="preserve">de minimis</w:t>
            </w:r>
            <w:r w:rsidR="00000000" w:rsidRPr="00000000" w:rsidDel="00000000">
              <w:rPr>
                <w:rtl w:val="0"/>
              </w:rPr>
              <w:t xml:space="preserve"> atbalsta uzskaites un piešķiršanas kārtību un </w:t>
            </w:r>
            <w:r w:rsidR="00000000" w:rsidRPr="00000000" w:rsidDel="00000000">
              <w:rPr>
                <w:i w:val="1"/>
                <w:rtl w:val="0"/>
              </w:rPr>
              <w:t xml:space="preserve">de minimis</w:t>
            </w:r>
            <w:r w:rsidR="00000000" w:rsidRPr="00000000" w:rsidDel="00000000">
              <w:rPr>
                <w:rtl w:val="0"/>
              </w:rPr>
              <w:t xml:space="preserve"> atbalsta uzskaites veidlapu paraugiem;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šā gada 1.jūlijā stājās spēkā grozījumi Ministru kabineta 2018. gada 21. novembra noteikumos Nr. 715 "De minimis atbalsta uzskaites un piešķiršanas kārtība", lūdzam precizēt šo noteikumu 32.3. un 33.punktu, svītrojot vārdus "un de minimis atbalsta uzskaites veidlapu paraugiem".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dzēst apakšsadaļā “Risinājuma apraksts” iekļauto informāciju: “TA projekta 26.2. apakšpunktā minētā nosacījuma izpildei 4.3.6.4. pasākuma finansējuma saņēmējiem būs jāizstrādā iekšējās kontroles sistēma, kā tie pārliecinās par interešu konflikta, krāpšanas un korupcijas risku neesamību, tostarp identificē apstākļus, kuri izraisa vai var izraisīt interešu konfliktu un krāpšanas un korupcijas riskus, kas rada apdraudējumu vai kaitējumu projekta īstenošanā, nosaka veicamos pasākumus un izstrādā darbības plānu interešu konflikta un krāpšanas un korupcijas risku preventīvai novēršanai un gadījumiem, kad interešu konflikts, krāpšana vai korupcija ir atklāta.”, ņemot vērā, ka prasība - finansējuma  saņēmējam izstrādāt Iekšējās kontroles sistēmu, nav attiecināma uz privāto tiesību subjektiem (skat. skaidrojumu pie MKN projekta 26.2.apakšpunkta priekšlikuma).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aicinām izvērtēt nepieciešamību papildināt anotāciju ar informāciju, ka finansējuma saņēmējs, lai nodrošinātu interešu konflikta neesamību, aizpilda un paraksta 2017. gada 28. februāra noteikumos Nr. 104 "Noteikumi par iepirkuma procedūru un tās piemērošanas kārtību pasūtītāja finansētiem projektiem" 1. pielikumā noteikto apliecinājumu par interešu konflikta neesību un pievieno to iepirkumu līgumu slēgšanas dokumentācijai, kā arī, veicot iepirkumus, īsteno konkurenci nodrošinošu, pārredzamu, atklātu, nediskriminējošu konkursa procedūru.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Čāčus (CFLA)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23-TA-1107</w:t>
    </w:r>
    <w:r>
      <w:br/>
    </w:r>
    <w:r w:rsidR="00000000" w:rsidRPr="00000000" w:rsidDel="00000000">
      <w:rPr>
        <w:rtl w:val="0"/>
      </w:rPr>
      <w:t xml:space="preserve">Izdrukāts 04.07.2024. 14.54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23-TA-1107</w:t>
    </w:r>
    <w:r>
      <w:br/>
    </w:r>
    <w:r w:rsidR="00000000" w:rsidRPr="00000000" w:rsidDel="00000000">
      <w:rPr>
        <w:rtl w:val="0"/>
      </w:rPr>
      <w:t xml:space="preserve">Izdrukāts 04.07.2024. 14.54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Atzinumi_23-TA-1107.docx</dc:title>
</cp:coreProperties>
</file>

<file path=docProps/custom.xml><?xml version="1.0" encoding="utf-8"?>
<Properties xmlns="http://schemas.openxmlformats.org/officeDocument/2006/custom-properties" xmlns:vt="http://schemas.openxmlformats.org/officeDocument/2006/docPropsVTypes"/>
</file>