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līdz 767 833,98  euro, tai skaitā Eiropas Reģionālā attīstības fonda finansējums – 677 969,34 euro un privātais finansējums – 89 864, 64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ministrijai un CFLA pieejamo informāciju par projekta otrā posma īstenošanai nepieciešamo finansējumu, lūdzam precizēt noteikuma projekta 6.punktu, norādot kopējo attiecināmo finansējumu 677 970 </w:t>
            </w:r>
            <w:r w:rsidR="00000000" w:rsidRPr="00000000" w:rsidDel="00000000">
              <w:rPr>
                <w:i w:val="1"/>
                <w:rtl w:val="0"/>
              </w:rPr>
              <w:t xml:space="preserve">euro </w:t>
            </w:r>
            <w:r w:rsidR="00000000" w:rsidRPr="00000000" w:rsidDel="00000000">
              <w:rPr>
                <w:rtl w:val="0"/>
              </w:rPr>
              <w:t xml:space="preserve">apmērā, attiecīgi precizējot ERAF un privātā finansējuma sadalījumu atbilstoši esošajai līdzfinansējuma likmei, vienlaikus precizējot informāciju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plānoto finansējumu norādīt veselos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vadības personāla izmaksas, kas radušās uz darba līguma, uzņēmuma vai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"tai skaitā valsts sociālās apdrošināšanas obligātās iemaksas no apliekamajām attiecināmajām izmaksām", ņemot vērā, ka tās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vadības personāla izmaksas, kas radušās uz darba līguma, uzņēmuma vai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ES fondu attiecināmības vadlīnijās minēto, ka , ja personāla izmaksas tiek attiecinātas pēc faktiskajām izmaksām, Eiropas Reģionālā attīstības fonda, Kohēzijas fonda, Taisnīgas pārkārtošanās fonds līdzfinansētajiem projektiem tiek noteikts maksimālais ierobežojums tiešajām projekta vadības personāla izmaksām līdz fiksētajai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projektiem ar tiešajām attiecināmajām izmaksām virs 5 milj. EUR personāla izmaksu Eiropas Savienības fondu daļas ierobežojums tiek noteikts kā fiksēta summa līdz 84 787 EUR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veikt attiecīgos precizējumus  noteikumu projektā, kā </w:t>
            </w:r>
            <w:r w:rsidR="00000000" w:rsidRPr="00000000" w:rsidDel="00000000">
              <w:rPr>
                <w:rtl w:val="0"/>
              </w:rPr>
              <w:t xml:space="preserve">arī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ka projekta otrā posma ietvaros plānotās darbības un investīcijas atbilst kopējam principa “Nenodarīt būtisku kaitējumu” (turpmāk – NBK)  novērtējumam, kas Eiropas Savienības kohēzijas politikas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2021.–2027.gadam izstrādes ietvaros tika veikts 2.1.1.3.pasākumam "AER izmantošana un energoefektivitātes paaugstināšana lokālajā un individuālajā siltumapgādē un aukstumapgādē", tādējādi apstiprinot plānoto investīciju atbilstību NBK principam Programmas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2.1. apakšpunktu, svītrojot izdevumus 2.2.apakšpunktā, kā arī norādīto finansiālo ietekmi 3.1. un 3.2.apakšpunktā. Vienlaikus lūdzam precizēt sadaļas 6.punktā sniegto informāciju, plānoto finansējumu norādot veselos </w:t>
            </w:r>
            <w:r w:rsidR="00000000" w:rsidRPr="00000000" w:rsidDel="00000000">
              <w:rPr>
                <w:i w:val="1"/>
                <w:rtl w:val="0"/>
              </w:rPr>
              <w:t xml:space="preserve">euro</w:t>
            </w:r>
            <w:r w:rsidR="00000000" w:rsidRPr="00000000" w:rsidDel="00000000">
              <w:rPr>
                <w:rtl w:val="0"/>
              </w:rPr>
              <w:t xml:space="preserve"> un informāciju par privāto finansējumu pārcelt uz punktu “Cita informācija”, kā arī svītrot vai precizēt pēdējo teikumu, ņemot vērā, ka norādītie budžeta izdevumi nav kopējie pasākuma izdevumi, jo ir paredzēts privātais finansējums, kas nav atspoguļots sadaļas skaitliskajā daļā. Vienlaikus punktā “Cita informācija” vārdu “resursus” lūdzam aizstāt ar vārdu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13.03.2024.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13.03.2024.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