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attiecībā uz obligātu valsts budžeta apropriācijas pārdali Valsts kasei. Ņemot vērā, ka risku mazinošajos pasākumos ir paredzēts, ka reorganizāciju tiesību aktu lēmumu saskaņošanas procesā resors sadarbībā ar Valsts kasi iespēju robežās vienojas par labāko risinājumu datu migrācijas, integrāciju u.c. darbu veikšanai un to izmaksu segšanai, paredzēt, ka pārdale ir veicama,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Ramute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04.02.2026.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04.02.2026.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