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Kapsētu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informāciju anotācijas sadaļā "Ziņu aktualizēšana Fizisko personu reģistrā" ar skaidrojumu par likumprojekta 14. panta 1. punktu. Šis punkts paredz, ka Fizisko personu reģistrā reģistrētas mirušās personas apbedīšanu vai kremāciju Latvijā aktualizē Fizisko personu reģistrā kapsētas īpašnieks vai kremācijas pakalpojumu sniedzējs. Taču anotācijā nav skaidrots, kāda ir kārtība, ja Latvijas valsts piederīgais tiek apglabāts Latvijā, bet apbedīšanas vai kremācijas pakalpojumu sniedz ārvalstu pakalpojuma sniedzējs. Šāda situācija var rasties pierobežu pilsētās. Pamatojoties uz minēto, lūdzam atbilstoši precizēt anotāciju, kādā kārtībā un kas šādos gadījumos atbild par mirušo personu ziņu aktualizēšanu Fizisko personu reģistrā.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Bojārs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08.05.2023. 10.35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08.05.2023. 10.35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Atzinumi_23-TA-616.docx</dc:title>
</cp:coreProperties>
</file>

<file path=docProps/custom.xml><?xml version="1.0" encoding="utf-8"?>
<Properties xmlns="http://schemas.openxmlformats.org/officeDocument/2006/custom-properties" xmlns:vt="http://schemas.openxmlformats.org/officeDocument/2006/docPropsVTypes"/>
</file>