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rīcību ar valsts un kapitālsabiedrības nekustamajiem īpašumiem, kas atzīti par valsts nozīmes kultūras pieminekļiem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19.04.2024. 14.33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19.04.2024. 14.33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