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6. jūnija noteikumos Nr. 313 "Traktortehnikas, tās piekabes, maināmās velkamās iekārtas un maināmā tehnoloģiskā agregāta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iesakām izvērtēt noteikumu projekta atbilstību Eiropas Savienības tiesību aktiem. Vēršam uzmanību, ka izziņā iepriekš sniegtais pamatojums "A</w:t>
            </w:r>
            <w:r w:rsidR="00000000" w:rsidRPr="00000000" w:rsidDel="00000000">
              <w:rPr>
                <w:i w:val="1"/>
                <w:rtl w:val="0"/>
              </w:rPr>
              <w:t xml:space="preserve">r noteikumu projektu netiek pārņemti Regulas 167/2013 prasības, bet gan tiek </w:t>
            </w:r>
            <w:r w:rsidR="00000000" w:rsidRPr="00000000" w:rsidDel="00000000">
              <w:rPr>
                <w:i w:val="1"/>
                <w:u w:val="single"/>
                <w:rtl w:val="0"/>
              </w:rPr>
              <w:t xml:space="preserve">ievērotas</w:t>
            </w:r>
            <w:r w:rsidR="00000000" w:rsidRPr="00000000" w:rsidDel="00000000">
              <w:rPr>
                <w:i w:val="1"/>
                <w:rtl w:val="0"/>
              </w:rPr>
              <w:t xml:space="preserve"> tās prasības</w:t>
            </w:r>
            <w:r w:rsidR="00000000" w:rsidRPr="00000000" w:rsidDel="00000000">
              <w:rPr>
                <w:rtl w:val="0"/>
              </w:rPr>
              <w:t xml:space="preserve">", anotācijas 5. sadaļas neaizpildīšanai, nav korekts. Proti, lasot noteikumu projektu, secināms, ka šķietami ir ieviestas Eiropas Parlamenta un Padomes 2013. gada 5. februāra Regulas (ES) Nr. 167/2013 par lauksaimniecības un mežsaimniecības transportlīdzekļu apstiprināšanu un tirgus uzraudzību (turpmāk - Regula 167/2013) prasības: Regulas 167/2013 1. panta pirmā punkta 2. daļa noteic, ka "</w:t>
            </w:r>
            <w:r w:rsidR="00000000" w:rsidRPr="00000000" w:rsidDel="00000000">
              <w:rPr>
                <w:i w:val="1"/>
                <w:rtl w:val="0"/>
              </w:rPr>
              <w:t xml:space="preserve">Šo regulu nepiemēro individuālu transportlīdzekļu apstiprināšanai. Tomēr dalībvalstis, kas piešķir šādus individuālus apstiprinājumus, pieņem jebkādus transportlīdzekļu, sistēmu, sastāvdaļu un atsevišķu tehnisku vienību tipa apstiprinājumus, kuri piešķirti saskaņā ar šo regulu, nevis saskaņā ar attiecīgajiem valsts noteikumiem</w:t>
            </w:r>
            <w:r w:rsidR="00000000" w:rsidRPr="00000000" w:rsidDel="00000000">
              <w:rPr>
                <w:rtl w:val="0"/>
              </w:rPr>
              <w:t xml:space="preserve">", un  kontekstā ar noteikumu projekta 18. punktu "</w:t>
            </w:r>
            <w:r w:rsidR="00000000" w:rsidRPr="00000000" w:rsidDel="00000000">
              <w:rPr>
                <w:i w:val="1"/>
                <w:rtl w:val="0"/>
              </w:rPr>
              <w:t xml:space="preserve">Reģistrējot traktortehniku vai tās piekabi, kam ir izsniegts individuālā transportlīdzekļa apstiprinājums atbilstības novērtēšanas jomu regulējošajos normatīvajos aktos noteiktajā kārtībā, reģistrācijas apliecības sadaļā "Piezīmes" norāda "Reģistrējams tikai Latvijas Republikā</w:t>
            </w:r>
            <w:r w:rsidR="00000000" w:rsidRPr="00000000" w:rsidDel="00000000">
              <w:rPr>
                <w:rtl w:val="0"/>
              </w:rPr>
              <w:t xml:space="preserve">"", secināms, ka nacionālajā regulējumā, paredzot individuālu transportlīdzekļu apstiprināšanu, tiek ieviesta Regulas 167/2013 1. panta pirmā punkta 2. daļa. Līdz ar to nepieciešams aizpildīt anotācijas 5. sadaļu un 5.4. punkta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Ceļu satiksmes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panta 1.</w:t>
            </w:r>
            <w:r w:rsidR="00000000" w:rsidRPr="00000000" w:rsidDel="00000000">
              <w:rPr>
                <w:vertAlign w:val="superscript"/>
                <w:rtl w:val="0"/>
              </w:rPr>
              <w:t xml:space="preserve">4 </w:t>
            </w:r>
            <w:r w:rsidR="00000000" w:rsidRPr="00000000" w:rsidDel="00000000">
              <w:rPr>
                <w:rtl w:val="0"/>
              </w:rPr>
              <w:t xml:space="preserve">daļu, 10.</w:t>
            </w:r>
            <w:r w:rsidR="00000000" w:rsidRPr="00000000" w:rsidDel="00000000">
              <w:rPr>
                <w:vertAlign w:val="superscript"/>
                <w:rtl w:val="0"/>
              </w:rPr>
              <w:t xml:space="preserve">3 </w:t>
            </w:r>
            <w:r w:rsidR="00000000" w:rsidRPr="00000000" w:rsidDel="00000000">
              <w:rPr>
                <w:rtl w:val="0"/>
              </w:rPr>
              <w:t xml:space="preserve">panta ceturto daļu un 21. panta trešo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svītrot projekta 1. punktā paredzēto grozījumu Ministru kabineta 2017. gada 6. jūnija noteikumu Nr.313 “Traktortehnikas, tās piekabes, maināmās velkamās iekārtas un maināmā tehnoloģiskā agregāta reģistrācijas kārtība” (turpmāk – noteikumi) izdošanas norādē, jo tā faktiski netiek grozīta (netiek veikti teksta papildinājumi vai svītrojumi). Ceļu satiksmes likuma 21. panta trešās daļas grozījumi, kas noteikti ar 2023. gada 22. jūnija likumu “Grozījumi Ceļu satiksmes likumā” nerada pienākumu veikt formālu grozījumus noteikumu izdošanas pilnvarojuma norādē. Turklāt projekta anotācijā šāda grozījuma skaidrojums netiek 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23-TA-2646</w:t>
    </w:r>
    <w:r>
      <w:br/>
    </w:r>
    <w:r w:rsidR="00000000" w:rsidRPr="00000000" w:rsidDel="00000000">
      <w:rPr>
        <w:rtl w:val="0"/>
      </w:rPr>
      <w:t xml:space="preserve">Izdrukāts 05.06.2024.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23-TA-2646</w:t>
    </w:r>
    <w:r>
      <w:br/>
    </w:r>
    <w:r w:rsidR="00000000" w:rsidRPr="00000000" w:rsidDel="00000000">
      <w:rPr>
        <w:rtl w:val="0"/>
      </w:rPr>
      <w:t xml:space="preserve">Izdrukāts 05.06.2024.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Atzinumi_23-TA-2646.docx</dc:title>
</cp:coreProperties>
</file>

<file path=docProps/custom.xml><?xml version="1.0" encoding="utf-8"?>
<Properties xmlns="http://schemas.openxmlformats.org/officeDocument/2006/custom-properties" xmlns:vt="http://schemas.openxmlformats.org/officeDocument/2006/docPropsVTypes"/>
</file>