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kādā valsts piedalās pedagogu darba samaksas finansēšanā vispārējās pamatizglītības un vispārējās vidējās izglītības pakāpē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10. grupa – šo noteikumu 3. pielikumā noteiktai pašvaldības izglītības iestādei, kura īsteno vispārējās pamatizglītības vai vispārējās vidējās izglītības programmas klātienes formā un kura uzskatāma par izglītības iestādi ar augstu pieejamības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Iekļaut Aizkraukles vidusskolu 3. pielikumā kā “Izglītības iestādi ar augstu pieejamības risku” vai “Izglītības iestādi, kurai piemērojami kvantitatīvie radītāji ar augstu pieejamības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Aizkraukles pilsētas Iedzīvotāju skaits ir </w:t>
            </w:r>
            <w:r w:rsidR="00000000" w:rsidRPr="00000000" w:rsidDel="00000000">
              <w:rPr>
                <w:b w:val="1"/>
                <w:rtl w:val="0"/>
              </w:rPr>
              <w:t xml:space="preserve">6 689 </w:t>
            </w:r>
            <w:r w:rsidR="00000000" w:rsidRPr="00000000" w:rsidDel="00000000">
              <w:rPr>
                <w:rtl w:val="0"/>
              </w:rPr>
              <w:t xml:space="preserve">(2025.gada dati), iedzīvotāju blīvums  blīvums 832,0 iedz./km</w:t>
            </w:r>
            <w:r w:rsidR="00000000" w:rsidRPr="00000000" w:rsidDel="00000000">
              <w:rPr>
                <w:vertAlign w:val="superscript"/>
                <w:rtl w:val="0"/>
              </w:rPr>
              <w:t xml:space="preserve">2  </w:t>
            </w:r>
            <w:r w:rsidR="00000000" w:rsidRPr="00000000" w:rsidDel="00000000">
              <w:rPr>
                <w:rtl w:val="0"/>
              </w:rPr>
              <w:t xml:space="preserve">Maksimālais iedzīvotāju skaits pilsētā bija 1992. gadā — 10 521 cilvēks.</w:t>
            </w:r>
            <w:r w:rsidR="00000000" w:rsidRPr="00000000" w:rsidDel="00000000">
              <w:rPr>
                <w:b w:val="1"/>
                <w:rtl w:val="0"/>
              </w:rPr>
              <w:t xml:space="preserve"> Aizkraukles pilsēta nepamatoti ielikta 2.DEGURBA grupā. Tai ir jābūt 4.grupā.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DEGURBA prasības attiecībā uz skolēnu skaitu Aizkraukles vidusskolā 120 nav iespējams izpildīt!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ka Aizkraukles vidusskola ir vienīgā vidusskola novada centrā, kā arī to, ka Aizkrauklē ir Aizkraukles profesionālā vidusskola. Pašvaldība karjeras izglītības ietvaros popularizē profesionālo vidusskolu.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10. grupa – šo noteikumu 3. pielikumā noteiktai pašvaldības izglītības iestādei, kura īsteno vispārējās pamatizglītības vai vispārējās vidējās izglītības programmas klātienes formā un kura uzskatāma par izglītības iestādi ar augstu pieejamības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Iekļaut Krāslavas Ģimnāziju  3. pielikumā kā “Izglītības iestādi ar augstu pieejamības risku” vai “Izglītības iestādi, kurai piemērojami kvantitatīvie radītāji ar augstu pieejamības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novads mērķtiecīgi ir kārtojis skolu tīklu, ar 2026.gada 1.septembri tiek veikta Krāslavas Varavīksnes vidusskolas reorganizācija un izglītības pakāpes maiņa, nosakot divu gadu pārejas periodu vidējās izglītības programmu īstenošanas pabeigšanai. Izglītības iestāžu tīkla optimizācija Krāslavas novadā paredz koncentrēt vispārējās vidējās izglītības programmu īstenošanu divās iestādēs: Krāslavas ģimnāzijā un Dagdas vidusskolā (attālums līdz Krāslavai 36 km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Krāslavas ģimnāzijā 2025.2026.mācību gadā mācās 68. Slēdzot Varavīksnes vidusskolu, skolēnu skaits varētu pieaugt līdz 75-80.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ģimnāzijai  (3.DEGURBA) ir noteikts nesamērīgi augsts  skolēnu skaits vidusskolas posmā (120) atbilstoši 3. grupas kritērijiem. NEIZPILDĀMS.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Identiska situācija ir Balvu novadā, kur Balvu valsts ģimnāzijai ir noteikts pieejamības statuss, kā arī  Preiļu novadā, kur abas divas vidējās izglītības iestādes (Preiļu Valsts ģimnāzija un Aglonas vidusskola) iekļautas 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10. grupa – šo noteikumu 3. pielikumā noteiktai pašvaldības izglītības iestādei, kura īsteno vispārējās pamatizglītības vai vispārējās vidējās izglītības programmas klātienes formā un kura uzskatāma par izglītības iestādi ar augstu pieejamības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Iekļaut Līvānu 1. vidusskolu 3. pielikumā kā “Izglītības iestādi ar augstu pieejamības risku” vai “Izglītības iestādi, kurai piemērojami kvantitatīvie radītāji ar augstu pieejamības risku”.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Līvānu vidusskola.</w:t>
            </w:r>
            <w:r w:rsidR="00000000" w:rsidRPr="00000000" w:rsidDel="00000000">
              <w:rPr>
                <w:rtl w:val="0"/>
              </w:rPr>
              <w:t xml:space="preserve"> Līvānu 1. vidusskolai (3.DEGURBA) ir noteikts nesamērīgs  skolēnu skaits vidusskolas posmā (120) atbilstoši 3. grupas kritērijiem. Novērtējot skolēnu skaitu aizvadīto 15 gadu laikā, ir redzams, ka jau kopš 2013. gada- vidusskolas posmā skolēnu skaits nekad nav sasniedzis 120 skolēnus. 2014. gadā – 96 audzēkņi, 2025./2026.mācību gadā  – 88 audzēkņi. Esošais skolēnu skaits ir samērīgs. Pat samazinot otras, Rudzātu vidusskolas, 10.-12.klašu izglītības pakāpi nav paredzams, ka skolēnu skaits Līvānu 1.vidusskolā pieaugs tādā līmenī, kas ļautu sasniegt noteikto 120 skolēnu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Identiska situācija Līvānu novada situācijai vērojama Preiļu novadā, kur abas divas vidējās izglītības iestādes (Preiļu Valsts ģimnāzija un Aglonas vidusskola) iekļautas 3.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3.1., 3.2. un 3.3. apakšpunktā minētās iestādes atrašanās vieta pašvaldību administratīvi teritoriālo vienību iedalījuma grupā noteikta šo noteikumu 1.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Tukuma pilsēta atrodas DEGURBA 4.grupā un Krāslavas pilsēta atrodas 3.DEGURBA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Tukuma pilsētā</w:t>
            </w:r>
            <w:r w:rsidR="00000000" w:rsidRPr="00000000" w:rsidDel="00000000">
              <w:rPr>
                <w:rtl w:val="0"/>
              </w:rPr>
              <w:t xml:space="preserve"> ir </w:t>
            </w:r>
            <w:r w:rsidR="00000000" w:rsidRPr="00000000" w:rsidDel="00000000">
              <w:rPr>
                <w:b w:val="1"/>
                <w:rtl w:val="0"/>
              </w:rPr>
              <w:t xml:space="preserve">16 182 Iedzīvotāji</w:t>
            </w:r>
            <w:r w:rsidR="00000000" w:rsidRPr="00000000" w:rsidDel="00000000">
              <w:rPr>
                <w:rtl w:val="0"/>
              </w:rPr>
              <w:t xml:space="preserve"> (2025.gada dati), iedzīvotāju blīvums ir  </w:t>
            </w:r>
            <w:r w:rsidR="00000000" w:rsidRPr="00000000" w:rsidDel="00000000">
              <w:rPr>
                <w:b w:val="1"/>
                <w:rtl w:val="0"/>
              </w:rPr>
              <w:t xml:space="preserve">1 199,6 iedz./km</w:t>
            </w:r>
            <w:r w:rsidR="00000000" w:rsidRPr="00000000" w:rsidDel="00000000">
              <w:rPr>
                <w:b w:val="1"/>
                <w:vertAlign w:val="superscript"/>
                <w:rtl w:val="0"/>
              </w:rPr>
              <w:t xml:space="preserve">2    </w:t>
            </w:r>
            <w:r w:rsidR="00000000" w:rsidRPr="00000000" w:rsidDel="00000000">
              <w:rPr>
                <w:rtl w:val="0"/>
              </w:rPr>
              <w:t xml:space="preserve">Tukums ar stabilu iedzīvotāju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Krāslavas pilsētā </w:t>
            </w:r>
            <w:r w:rsidR="00000000" w:rsidRPr="00000000" w:rsidDel="00000000">
              <w:rPr>
                <w:rtl w:val="0"/>
              </w:rPr>
              <w:t xml:space="preserve">ir</w:t>
            </w:r>
            <w:r w:rsidR="00000000" w:rsidRPr="00000000" w:rsidDel="00000000">
              <w:rPr>
                <w:b w:val="1"/>
                <w:rtl w:val="0"/>
              </w:rPr>
              <w:t xml:space="preserve"> 6 797</w:t>
            </w:r>
            <w:r w:rsidR="00000000" w:rsidRPr="00000000" w:rsidDel="00000000">
              <w:rPr>
                <w:rtl w:val="0"/>
              </w:rPr>
              <w:t xml:space="preserve"> Iedzīvotāji (2025.gada dati), iedzīvotāju   blīvums ir </w:t>
            </w:r>
            <w:r w:rsidR="00000000" w:rsidRPr="00000000" w:rsidDel="00000000">
              <w:rPr>
                <w:b w:val="1"/>
                <w:rtl w:val="0"/>
              </w:rPr>
              <w:t xml:space="preserve">793,1 iedz./km</w:t>
            </w:r>
            <w:r w:rsidR="00000000" w:rsidRPr="00000000" w:rsidDel="00000000">
              <w:rPr>
                <w:b w:val="1"/>
                <w:vertAlign w:val="superscript"/>
                <w:rtl w:val="0"/>
              </w:rPr>
              <w:t xml:space="preserve">2     </w:t>
            </w:r>
            <w:r w:rsidR="00000000" w:rsidRPr="00000000" w:rsidDel="00000000">
              <w:rPr>
                <w:rtl w:val="0"/>
              </w:rPr>
              <w:t xml:space="preserve">Krāslavā iedzīvotāju skaits ir sarūkošs.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Lūdzu pārskatīt DEGURBA grupas, Krāslavai noteikt 4.DEGURBA grupu un Tukuma pilsētai noteikt 3.DEGURBA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3.1., 3.2. un 3.3. apakšpunktā minētās iestādes atrašanās vieta pašvaldību administratīvi teritoriālo vienību iedalījuma grupā noteikta šo noteikumu 1.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Īslīces pagastam ir noteikta 5.DEGURBA grupa, Codes pagastam ir noteikta 4.DEGURBA grupa un Vecumnieku pagastam  ir noteikta 5.DEGURBA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Pašvaldību savienība veica DEGURBA līdzības analīzi  Īslīces, Codes un Vecumnieku pagastiem.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Metodika </w:t>
            </w:r>
            <w:r w:rsidR="00000000" w:rsidRPr="00000000" w:rsidDel="00000000">
              <w:rPr>
                <w:rtl w:val="0"/>
              </w:rPr>
              <w:t xml:space="preserve">- tika veikta pagastu salīdzināšana, ar mērķi atrast katram no trim pagastiem līdzīgākās teritorijas ar DEGURBA 6. grupu, kuru platība un iedzīvotāju skaits ir pēc iespējas tuvāks.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w:t>
            </w:r>
            <w:r w:rsidR="00000000" w:rsidRPr="00000000" w:rsidDel="00000000">
              <w:rPr>
                <w:b w:val="1"/>
                <w:rtl w:val="0"/>
              </w:rPr>
              <w:t xml:space="preserve">īdzības aprēķins:</w:t>
            </w:r>
            <w:r w:rsidR="00000000" w:rsidRPr="00000000" w:rsidDel="00000000">
              <w:rPr>
                <w:rtl w:val="0"/>
              </w:rPr>
              <w:t xml:space="preserve"> kandidātu kopai (6. grupa) aprēķinājām relatīvās atšķirības pret mērķa teritoriju platībā un iedzīvotāju skaitā, pēc tam veidojām kompozīto līdzības indeksu: indekss = 0,5·(platības % atšķirība) + 0,5·(iedzīvotāju % atšķirība). Jo mazāks indekss, jo līdzīgāka teritorija. Papildu norādām aprēķināto iedzīvotāju blīvumu (iedz./km²). Tika atlasītas tikai 6. grupas teritorijas (8. un 9. grupa netiek iekļauta kandidātos).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“Īslīces (103 km²; 2 389 iedz.) ir statistiski ļoti tuva 6. grupas Glūdas/Auru pagastiem</w:t>
            </w:r>
            <w:r w:rsidR="00000000" w:rsidRPr="00000000" w:rsidDel="00000000">
              <w:rPr>
                <w:rtl w:val="0"/>
              </w:rPr>
              <w:t xml:space="preserve"> (platības atšķirība 0.4–6.8%; iedz. atšķirība 10–14%).”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“Codes (94 km²; 1 449 iedz.) – tuvākās 6. grupas analogas ir Siguldas/Sesavas/Rundāles pagasti</w:t>
            </w:r>
            <w:r w:rsidR="00000000" w:rsidRPr="00000000" w:rsidDel="00000000">
              <w:rPr>
                <w:rtl w:val="0"/>
              </w:rPr>
              <w:t xml:space="preserve"> (platības atšķirība 1–5%; iedz. atšķirība 7–13%).”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“Vecumnieku (281 km²; 3 818 iedz.) – tuvas 6. grupas analogas pēc iedzīvotājiem ir Mālpils/Krimuldas pagasti;</w:t>
            </w:r>
            <w:r w:rsidR="00000000" w:rsidRPr="00000000" w:rsidDel="00000000">
              <w:rPr>
                <w:rtl w:val="0"/>
              </w:rPr>
              <w:t xml:space="preserve"> lielā platība un zems blīvums pamato 6. grupas sliekšņu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Lūdzu noteikt Īslīces, Codes un Vecumnieku pagastiem 6.DEGURBA grupu.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ja pašvaldība sniedz pierādījumos balstītu prognozi par izglītojamo skaita pieaugumu izglītības iestādē nākamo trīs mācību gadu laikā saistībā ar tuvāko izglītības iestāžu veiktajām reorganizācijām;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izteikt 16.3. punktu sekojošā redakcijā: 16.3. ja pašvaldība sniedz pierādījumos balstītu prognozi </w:t>
            </w:r>
            <w:r w:rsidR="00000000" w:rsidRPr="00000000" w:rsidDel="00000000">
              <w:rPr>
                <w:b w:val="1"/>
                <w:rtl w:val="0"/>
              </w:rPr>
              <w:t xml:space="preserve">par izglītojamo skaita saglabāšanos esošajā līmenī ar iespējamu 10% samazinājumu </w:t>
            </w:r>
            <w:r w:rsidR="00000000" w:rsidRPr="00000000" w:rsidDel="00000000">
              <w:rPr>
                <w:rtl w:val="0"/>
              </w:rPr>
              <w:t xml:space="preserve">izglītības iestādē nākamo trīs mācību gadu laikā saistībā ar tuvāko izglītības iestāžu veiktajām reorganizācijām vai stabilām demogrāfiskām prognozēm.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Ņemot vērā demogrāfiskās tendences, nav iespējams garantēt skolēnu skaita pieaugumu kādā izglītības iestādē, arī citu administratīvajā teritorijā esošo izglītības iestāžu reorganizācija negarantē konkrētu skolēnu skaitu, kas ļautu izpildīt kvantitatīvos rādītājus. Tāpat nav korekti, ka vienas skolas turpmākā darbība atkarīga no citas skolu reorganizācijas. Proti, piemērojot konkrēto punktu, jau tiek paredzēts 3 gados reorganizēt kādu no citām skolām, pat ja esošajā brīdī tā izpilda savus kvantitatīvos rādītājus. Tas veido nevienlīdzīgu attieksmi pret izglītības iestādēm. </w:t>
            </w:r>
            <w:r w:rsidR="00000000" w:rsidRPr="00000000" w:rsidDel="00000000">
              <w:rPr>
                <w:b w:val="1"/>
                <w:rtl w:val="0"/>
              </w:rPr>
              <w:t xml:space="preserve">Esošajā brīdī skolu lielākais  izaicinājums ir saglabāt esošo skolēnu skaitu, līdz ar to augstākminētās izmaiņas nodrošinātu pārskatāmus un reālajā situācijā balstītu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Izglītības iestādes dibinātājs ne vēlāk kā līdz kārtējā gada 30. jūnijam iesniedz ministrijai rakstiski to izglītības iestāžu sarakstu, kurās izglītojamo skaits attiecīgajā klašu grupā neatbilst šo noteikumu 2. pielikumā noteiktajiem kvantitatīvajiem rādītājiem un pieļaujamai svārstībai: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7. klasēs un vidusskolas posma 10.klasē nav prognozējams faktiskai izglītojamo skaits, izņemot valsts ģimnāzijas un vidusskolas, kurās tiek organizēts atlases process. Notiek izglītojamo pārvietošanās starp 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18.punktu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Izglītības iestādes dibinātājs ne vēlāk kā līdz kārtējā gada 30. jūnijam, iesniedz ministrijai rakstiski to izglītības iestāžu sarakstu, kurās izglītojamo skaits attiecīgajā klašu grupā neatbilst šo noteikumu 2. pielikumā noteiktajiem kvantitatīvajiem rādītājiem un pieļaujamai svārstībai. </w:t>
            </w:r>
            <w:r w:rsidR="00000000" w:rsidRPr="00000000" w:rsidDel="00000000">
              <w:rPr>
                <w:b w:val="1"/>
                <w:rtl w:val="0"/>
              </w:rPr>
              <w:t xml:space="preserve">Par izglītojamo skaitu 7. un 10.klasēs, ja netiek organizēts izglītojamo atlases process izglītības iestādes dibinātājs iesniedz līdz kārtējā gada 5.septembrim.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Kvantitatīvie rādītāji izglītības iestādes klašu grupām un pieļaujamā izglītojamo skaita svārstība no noteiktā kvantitatīvā rādītāja klašu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10.grupas vidusskolas posmā 10.-12.klašu grupā noteikt pārejas periodu vienu gadu ar 10% pieļaujamo izglītojamo skaita svārstību no noteiktā kvantitatīvā rādītāja klašu grupā (noapaļojot uz 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Pašvaldības pieņem lēmumus par skolu tīkla sakārtošanu, vidusskolu pakāpju maiņu, kam būs ietekme (ar izglītojamo skaita pieaugumu) pēc viena gada.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Kvantitatīvie rādītāji izglītības iestādes klašu grupām un pieļaujamā izglītojamo skaita svārstība no noteiktā kvantitatīvā rādītāja klašu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DEGURBA 3</w:t>
            </w:r>
            <w:r w:rsidR="00000000" w:rsidRPr="00000000" w:rsidDel="00000000">
              <w:rPr>
                <w:rtl w:val="0"/>
              </w:rPr>
              <w:t xml:space="preserve">. </w:t>
            </w:r>
            <w:r w:rsidR="00000000" w:rsidRPr="00000000" w:rsidDel="00000000">
              <w:rPr>
                <w:b w:val="1"/>
                <w:rtl w:val="0"/>
              </w:rPr>
              <w:t xml:space="preserve">Novadu centriem vidusskolas posmā 10.-12.klašu grupā noteikt 90 izglītojamos.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būtiskākajiem ilgtspējīgas atalgojuma sistēmas priekšnosacījumiem ir prognozējams skolēnu skaits, kas ļauj plānot nepieciešamo pedagogu slodzi, mācību priekšmetu piedāvājumu un finansējumu vairākiem gadiem uz priekšu. Jāņem vērā, ka iedzīvotāju mobilitāte līdz ar to arī skolēnu notiek lielo pilsētu virzienā. Demogrāfijas prognozes liecina, ka iedzīvotāju skaits tai skaitā arī skolēnu skaits saruks arī novadu centros.</w:t>
            </w:r>
            <w:r w:rsidR="00000000" w:rsidRPr="00000000" w:rsidDel="00000000">
              <w:rPr>
                <w:b w:val="1"/>
                <w:rtl w:val="0"/>
              </w:rPr>
              <w:t xml:space="preserve"> Ir jānodrošina pietiekama un iltspējīga vidusskolas programmu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izglītības iestādes, kuras īsteno vispārējās pamatizglītības vai vispārējās vidējās izglītības programmas klātienes formā un kuras uzskatāmas par izglītības iestādēm ar augstu pieejamības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Izglītības iestāžu sarakstu ar augstu pieejamības risku papildināt ar sekojošām 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Aizkraukles novads - Aizkraukles vidusskola (Pamatojums,skat.punktā 3.4.)  Novada centra vidusskola;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Līvānu novads - Līvānu vidusskola (pamatojums, skat. punktā 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novads - Krāslavas Ģimnāzija (pamatojums skt.punktā 3.4.)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10.02.2026.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10.02.2026.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Atzinumi_26-TA-193.docx</dc:title>
</cp:coreProperties>
</file>

<file path=docProps/custom.xml><?xml version="1.0" encoding="utf-8"?>
<Properties xmlns="http://schemas.openxmlformats.org/officeDocument/2006/custom-properties" xmlns:vt="http://schemas.openxmlformats.org/officeDocument/2006/docPropsVTypes"/>
</file>