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februāra noteikumos Nr. 108 "Kārtība, kādā uzrauga un izvērtē Eiropas Savienības struktūrfondu un Kohēzijas fonda ieviešanu, kā arī izveido un izmanto Kohēzijas politikas fondu vadības informācijas sistēmu 2014.–2020.gadam"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vienotā valsts un pašvaldību pakalpojumu portāla www.latvija.lv sniegtos autentifikācijas pakalpojumus, izņemot autentifikācija ar banku identifikācijas 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29.1. punktu, nosakot, ka  izmantojami kvalificēti un kvalificēti paaugstinātas drošības elektroniskās identifikācijas līdzekļi. Tas nodrošina drošās un legālās autentifikācijas iespējas (izņemot ar banku autentifikācijas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vienotā valsts un pašvaldību pakalpojumu portāla www.latvija.lv sniegtos autentifikācijas pakalpojumus, izmantojot kvalificētus un kvalificētus paaugstinātas drošības elektroniskās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29.10.2024.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29.10.2024.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Atzinumi_24-TA-1924.docx</dc:title>
</cp:coreProperties>
</file>

<file path=docProps/custom.xml><?xml version="1.0" encoding="utf-8"?>
<Properties xmlns="http://schemas.openxmlformats.org/officeDocument/2006/custom-properties" xmlns:vt="http://schemas.openxmlformats.org/officeDocument/2006/docPropsVTypes"/>
</file>