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485 "Parāda atgūšanas pakalpojuma sniedzēju licencēšanas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2024. gada 16. jūlija noteikumos Nr. 485 "Parāda atgūšanas pakalpojuma sniedzēju licencēšanas kārtība" konsekventi svītrot atsauces uz Eiropas Banku iestādes pamatnostādnēm. Proti, lūdzam atsauces svītrot ne tikai noteikumu pamattekstā, bet arī tā pielikumos (sk. noteikumu 1. pielikumu (projekta pielikums) un 4. pielikumu), kā arī attiecīgi precizēt anotāciju. Papildus aicinām pēc būtības pamatot projekta 10. punktā ietverto prasību, anotācijā skaidrojot, kādēļ attiecīgā prasība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03.01.2025.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03.01.2025.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Atzinumi_24-TA-1914.docx</dc:title>
</cp:coreProperties>
</file>

<file path=docProps/custom.xml><?xml version="1.0" encoding="utf-8"?>
<Properties xmlns="http://schemas.openxmlformats.org/officeDocument/2006/custom-properties" xmlns:vt="http://schemas.openxmlformats.org/officeDocument/2006/docPropsVTypes"/>
</file>