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25-TA-1705: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instrukcija par Kriminālprocesa likuma 152. un 153. pantā minētā psihologa, ar kura starpniecību tiek izdarīta nepilngadīgā pratināšana, lomu un izvirzāmajām prasībām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tiesībsarga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atšķirībām sertificētu un nesertificētu psihologu tiesībās, ierobežojumiem veikt Psihologu likumā noteikto psihologa profesionālo darbību un citiem pienākumiem, kuru veikšanai nepieciešamas zināšanas psiholoģijā)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Procesuālās darbības, nepilngadīgā pratināšanas ar psihologa starpniecību, veicējs ir procesa virzītājs. Psihologs, veicot starpniecību pratināšanā, neveic psihologu profesionālo darbību Psihologu likuma izpratnē, bet izmanto savas psihologa profesionālās iemaņas, zināšanas un prasmes saistībā ar psiholoģiskiem aspektiem. Psihologs atbilstoši Kriminālprocesa likuma 152. panta sestajai un septītajai daļai izpilda procesa virzītāja dotos norādījumus saistībā ar izmeklēšanai svarīgajiem pārbaudāmajiem apstākļiem un noskaidrojamajiem jautājumiem: izvērtē, kā šos izmeklētāja jautājumus vislabāk iegūt no bērna, ņemot vērā viņa vecumu, briedumu, attīstības īpatnības, psiholoģisko stāvokli u.c. un bērna vecumam un briedumam atbilstošā veidā formulē procesa virzītāja uzdotos jautājumus, pielietojot pētījumos balstītu nopratināšanas struktūru, izmantojot šīs instrukcijas 4. punktā minētās speciālās zināšanas un prasmes, kā arī veic citas minētajā Kriminālprocesa likuma pantā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ir ne tikai par psihologa kvalifikāciju un uzdevumiem, bet arī par psihologa lomu Kriminālprocesā (kas izriet no Instrukcijas nosaukuma).  Ņemot vērā to, ka viens no strīdīgiem jautājumiem ir un paliek par psihologa statusu kriminālprocesā, tad aicinām šo jautājumu risināt pēc iespējas ātrāk un iekļaut Instrukcijas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Stradiņa (VP)</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sniegtie Labklājības ministrijas argumenti nav pilnībā savstarpēji saskaņoti ar anotācijā ietverto pamatojumu un pēc būtības neatspēko izteiktos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pamatoti tiek norādīts, ka Psihologu reģistrā nav pieejama informācija par psihologu speciālajām zināšanām nepilngadīgo pratināšanas jomā, kā rezultātā procesa virzītājam nav objektīvas iespējas pārliecināties par instrukcijā noteikto prasību izpildi. Vienlaikus anotācijā tiek uzsvērta nepieciešamība pēc sistēmiska, pārskatāma un pārbaudāma mehānisma, kas nodrošina iespēju izmeklēšanas iestādēm verificēt psihologu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izziņā tiek pieļauta paļaušanās uz neformāliem sadarbības mehānismiem, individuālu dokumentu pieprasīšanu un institucionālo praksi, kas nav vienoti regulēta un nav piemērojama visām izmeklēšanas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anotācijā skaidri noteikts, ka instrukcija attiecas uz visām izmeklēšanas iestādēm, savukārt izziņā ietvertie argumenti faktiski balstās uz atsevišķu institūciju praksi (piemēram, starpinstitucionālās sadarbības programmas “Bērna māja” un Valsts policijas), tādējādi neaptverot pilnu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izziņas (5. un 6. punkts) pretargumentu sadaļu, nodrošinot tās atbilstību anotācijā ietvertajam pamatojumam un novēršot konstatētās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15.04.2026.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15.04.2026.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Atzinumi_25-TA-1705.docx</dc:title>
</cp:coreProperties>
</file>

<file path=docProps/custom.xml><?xml version="1.0" encoding="utf-8"?>
<Properties xmlns="http://schemas.openxmlformats.org/officeDocument/2006/custom-properties" xmlns:vt="http://schemas.openxmlformats.org/officeDocument/2006/docPropsVTypes"/>
</file>