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Vērtspapīrošanas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Vērtspapīrošanas sabiedrība ir tiesīga vienlaicīgi īstenot tikai vienu vērtspapīrošanas darījumu vai shēmu.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likumprojekta 6. panta ceturtās daļas atbilstību Eiropas Parlamenta un Padomes 2017. gada 12. decembra regulas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2017/2402) 2. panta 2. punktam, saskaņā ar kuru “īpašam nolūkam dibināta sabiedrība, kas veic vērtspapīrošanu” </w:t>
            </w:r>
            <w:r w:rsidR="00000000" w:rsidRPr="00000000" w:rsidDel="00000000">
              <w:rPr>
                <w:rtl w:val="0"/>
              </w:rPr>
              <w:t xml:space="preserve">jeb “SSPE”</w:t>
            </w:r>
            <w:r w:rsidR="00000000" w:rsidRPr="00000000" w:rsidDel="00000000">
              <w:rPr>
                <w:rtl w:val="0"/>
              </w:rPr>
              <w:t xml:space="preserve"> ir korporācija, trasta sabiedrība vai cita sabiedrība, kas nav iniciators vai sponsors, un kura ir izveidota, lai veiktu vienu </w:t>
            </w:r>
            <w:r w:rsidR="00000000" w:rsidRPr="00000000" w:rsidDel="00000000">
              <w:rPr>
                <w:u w:val="single"/>
                <w:rtl w:val="0"/>
              </w:rPr>
              <w:t xml:space="preserve">vai vairākus</w:t>
            </w:r>
            <w:r w:rsidR="00000000" w:rsidRPr="00000000" w:rsidDel="00000000">
              <w:rPr>
                <w:rtl w:val="0"/>
              </w:rPr>
              <w:t xml:space="preserve"> vērtspapīrošanas darījumus, kuras darbības aprobežojas ar to, kas ir nepieciešams minētā mērķa sasniegšanai, kuras struktūra ir paredzēta, lai SSPE pienākumus nošķirtu no iniciatora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Ieguldītājiem ir tiesības celt prasības pret vērtspapīrošanas sabiedrību vienīgi gadījumā, ja to paredz vērtspapīrošanas darījumu dokumentācijas noteikumi, un tikai tādā apmērā, kādā aktīvi nodrošina konkrēto laidienu. Vērtspapīrošanas darījumu dokumentācijas noteikumos var paredzēt, ka katrs atsevišķais ieguldītājs nevar celt prasību un ka lēmumu par prasību celšanu ieguldītāji pieņem vērtspapīrošanas darījumu dokumentācijas noteikumos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16. panta pirmajā daļā ietverto regulējumu, jo tas nonāk pretrunā ar izziņas par atzinumos sniegtajiem iebildumiem 12. punktā sniegto skaidrojumu, ka "Kreditora tiesības celt prasības pret vērtspapīrošanas sabiedrību var tikt ierobežotas vienīgi pamatojoties uz līgumisku klauzulu. Ja līgumā starp vērtspapīrošanas sabiedrību un otru līdzēju (kreditoru) šāda klauzula ir iekļauta, tad tā liedz kreditoram celt prasību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iesniegto dokumentu izskatīšanu Regulas Nr. 2017/2402 28.panta 1.punktā minētās atļaujas izsniegšanai trešajām personām, kas pārbauda vērtspapīrošanas atbilstību vienkāršības, pārredzamības un standartizācijas prasībām, Latvijas Bankai maksājama vienreizēja maksa 5000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22. un 25. pantā lietoto Eiropas Savienības vienotās valūtas apzīmējumu, jo normatīvajos aktos Eiropas Savienības vienotās valūtas apzīmēšanai lieto vārdu "</w:t>
            </w:r>
            <w:r w:rsidR="00000000" w:rsidRPr="00000000" w:rsidDel="00000000">
              <w:rPr>
                <w:i w:val="1"/>
                <w:rtl w:val="0"/>
              </w:rPr>
              <w:t xml:space="preserve">euro</w:t>
            </w:r>
            <w:r w:rsidR="00000000" w:rsidRPr="00000000" w:rsidDel="00000000">
              <w:rPr>
                <w:rtl w:val="0"/>
              </w:rPr>
              <w:t xml:space="preserve">"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reģistrēta vērtspapīrošanas sabiedrība sniedz Latvijas Bankai Eiropas Centrālās bankas 2013. gada 18. oktobra regulā (ES) Nr. 1075/2013 par vērtspapīrošanas darījumos iesaistīto finanšu instrumentsabiedrību aktīvu un pasīvu statistiku (pārstrādāta versija) (ECB/2013/40) (turpmāk – Regula Nr. 1075/2013) noteikto informāciju Latvijas Bankas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23. panta pirmās daļas nav saprotams, vai tajā ir domāts pilnvarojums Latvijas Bankai izdot ārēju normatīvo aktu, vai arī atsauce uz Latvijas Bankas izdoto regulējumu. Vēršam uzmanību, ka saskaņā ar Ministru kabineta 2009. gada 3. februāra noteikumu Nr. 108 "Normatīvo aktu projektu sagatavošanas noteikumi" 62. punktu likumprojektā neietver atsauces uz zemāka juridiskā spēka normatīvo aktu. Savukārt vispārīgs pilnvarojums Latvijas Bankai noteikt statistisko datu sagatavošanas un iesniegšanas prasības un kārtību, iesniegšanas termiņu, kā arī personas, kurām ir pienākums iesniegt statistiskos datus, jau ir paredzēts Latvijas Bankas likuma 63. panta otrajā daļā. Turklāt Eiropas Centrālās bankas 2013. gada 18. oktobra regulas (ES) Nr. 1075/2013 par vērtspapīrošanas darījumos iesaistīto finanšu instrumentsabiedrību aktīvu un pasīvu statistiku (pārstrādāta versija) (ECB/2013/40) prasības statistisko datu sniegšanai un finanšu instrumentsabiedrību saraksta publicēšanai tiek īstenotas saskaņā ar Latvijas Bankas 2022. gada 5. decembra noteikumiem Nr. 233 "Statistisko datu par finanšu instrumentsabiedrību finansiālo stāvokli (FIS) sagatavošanas un iesniegšanas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23.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iniciatora, sponsora vai vērtspapīrošanas sabiedrības valdes un padomes (ja tāda ir izveidota) loceklim vai par pārkāpumu atbildīgai fiziskajai personai veikt tai noteiktos pienākumus līdz pārkāpuma izbeigšanās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26. panta pirmās daļas 2. punkta redakcija atšķiras no tās, kas norādīta izziņas par atzinumos sniegtajiem iebildumiem 23. punkta trešajā kolonnā. Lūdzam saskaņot minētās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piemēroto sankciju un administratīvo pasākumu ievieto savā tīmekļvietnē, norādot ziņas par personu un tās izdarīto pārkāpumu, kā arī par Latvijas Bankas pieņemtā lēmuma apstrīdēšanu un pārsūdzēšanu un pieņemto nolēmumu.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28. panta pirmo daļu, ņemot vērā, ka likumprojekta 30. pants neparedz Latvijas Bankas pieņemtā lēmuma apstrīdēšanu.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tikai viens pārejas noteikums, ierosinām atbilstoši precizēt šīs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 apakšpunktā norādīto informāciju, ņemot vērā, ka likumprojekta izpildē būs iesaistīta Latvijas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 apakšpunktā sniegto informāciju par saistītajiem tiesību aktu projektiem, ņemot vērā to, ka atbilstoši anotācijas 1. sadaļā sniegtajai informācijai saistītie grozījumi būs nepieciešami arī Kredītu reģistra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22-TA-439</w:t>
    </w:r>
    <w:r>
      <w:br/>
    </w:r>
    <w:r w:rsidR="00000000" w:rsidRPr="00000000" w:rsidDel="00000000">
      <w:rPr>
        <w:rtl w:val="0"/>
      </w:rPr>
      <w:t xml:space="preserve">Izdrukāts 07.12.2022.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22-TA-439</w:t>
    </w:r>
    <w:r>
      <w:br/>
    </w:r>
    <w:r w:rsidR="00000000" w:rsidRPr="00000000" w:rsidDel="00000000">
      <w:rPr>
        <w:rtl w:val="0"/>
      </w:rPr>
      <w:t xml:space="preserve">Izdrukāts 07.12.2022.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Atzinumi_22-TA-439.docx</dc:title>
</cp:coreProperties>
</file>

<file path=docProps/custom.xml><?xml version="1.0" encoding="utf-8"?>
<Properties xmlns="http://schemas.openxmlformats.org/officeDocument/2006/custom-properties" xmlns:vt="http://schemas.openxmlformats.org/officeDocument/2006/docPropsVTypes"/>
</file>