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saskaņā ar Komisijas regulu Nr. 717/2014 un kas darbojas arī nozarēs, kuras minētas Komisijas regulas Nr. 717/2014 1. panta 1. punktā, nodrošina šo nozaru darbību vai izmaksu nodalīšanu saskaņā ar Komisijas regulas Nr. 717/2014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nozaru un darbību nodalīšanu saskaņā ar Komisijas regulu Nr. 717/20143 nosaka ne tikai Komisijas regulas Nr. 717/2014 1. panta 2. punkts, bet arī Komisijas regulas Nr. 717/2014 1. panta 3. punkts, tādēļ aicinām noteikumu Nr. 691 36.2. apakšpunktu papildināt arī ar atsauci uz Komisijas regulas Nr. 717/2014 1.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saskaņā ar Komisijas regulu Nr. 1408/2013 un kas darbojas arī nozarēs, kuras minētas Komisijas regulas Nr. 1408/2013 1. panta 1. punktā, nodrošina šo nozaru darbību vai izmaksu nodalīšanu saskaņā ar Komisijas regulas Nr. 1408/2013 1. panta 2. 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nozaru un darbību nodalīšanu saskaņā ar Komisijas regulu Nr. 1408/2013 nosaka ne tikai Komisijas regulas Nr. 1408/2013 1. panta 2. punkts, bet arī Komisijas regulas Nr. 1408/2013 1. panta 3. punkts, tādēļ aicinām noteikumu Nr. 691 36.3. apakšpunktu papildināt arī ar atsauci uz Komisijas regulas Nr. 1408/2013 1.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34.1.2. Komisijas regulas Nr.  1408/2013 1. panta 1. punktā minētos nozaru un darbības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noteikumu Nr. 691 34.1.2. apakšpunktā noteikto, ka atbalstu piešķir ievērojot Komisijas regulas Nr.  1408/2013 1. panta 1. punktā minētos</w:t>
            </w:r>
            <w:r w:rsidR="00000000" w:rsidRPr="00000000" w:rsidDel="00000000">
              <w:rPr>
                <w:u w:val="single"/>
                <w:rtl w:val="0"/>
              </w:rPr>
              <w:t xml:space="preserve"> nozaru </w:t>
            </w:r>
            <w:r w:rsidR="00000000" w:rsidRPr="00000000" w:rsidDel="00000000">
              <w:rPr>
                <w:rtl w:val="0"/>
              </w:rPr>
              <w:t xml:space="preserve">un darbības ierobežojumus, ņemot vērā, ka  Komisijas regulas Nr.  1408/2013 1. panta 1. punktā noteikta atbalstāmā nozare un darbību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34.2.1. vai jebkurā triju fiskālo gadu periodā </w:t>
            </w:r>
            <w:r w:rsidR="00000000" w:rsidRPr="00000000" w:rsidDel="00000000">
              <w:rPr>
                <w:i w:val="1"/>
                <w:rtl w:val="0"/>
              </w:rPr>
              <w:t xml:space="preserve">de minimis</w:t>
            </w:r>
            <w:r w:rsidR="00000000" w:rsidRPr="00000000" w:rsidDel="00000000">
              <w:rPr>
                <w:rtl w:val="0"/>
              </w:rPr>
              <w:t xml:space="preserve"> atbalsta kopējais apmērs nepārsniedz Komisijas regulas Nr. 717/2014 3. panta 2.a punktā (saimnieciskās darbības veicējiem, kuri darbojas zvejniecības un akvakultūras nozarē saskaņā ar regulu Nr. 1379/2013) vai Komisijas regulas Nr.  1408/2013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un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Komisijas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 </w:t>
            </w:r>
            <w:r w:rsidR="00000000" w:rsidRPr="00000000" w:rsidDel="00000000">
              <w:rPr>
                <w:rtl w:val="0"/>
              </w:rPr>
              <w:t xml:space="preserve">atbalstu piešķir saskaņā ar Komisijas regulu Nr. 717/2014;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 šobrīd ir uzsākusi  Komisijas regulas Nr.  1408/2013 grozījumus, kuri varētu stāties spēkā ar 2025. gada 1.javāri norādām, ka lai būtu iespējams piešķirt atbalstu saskaņā ar Komisijas regulu Nr.  1408/2013 pēc 2025. gada 1. janvāra būs jāveic attiecīgi grozījumi noteikumos Nr. 691.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16.10.2024.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16.10.2024.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Atzinumi_24-TA-1885.docx</dc:title>
</cp:coreProperties>
</file>

<file path=docProps/custom.xml><?xml version="1.0" encoding="utf-8"?>
<Properties xmlns="http://schemas.openxmlformats.org/officeDocument/2006/custom-properties" xmlns:vt="http://schemas.openxmlformats.org/officeDocument/2006/docPropsVTypes"/>
</file>