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 sadaļas 6. punkta 1. rindkopā sniegto informāciju un norādīt, ka atbalstītais 2024. - 2026. gada starpnozaru prioritārais pasākums “Atlīdzība Iekšlietu ministrijas un Tieslietu ministrijas  institūcijās nodarbinātajiem, tai skaitā Probācijas dienestam” ir iekļauts likumprojektā "Par valsts budžetu 2024. gadam un budžeta ietvaru 2024., 2025. un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tabulu, tajā kā kārtējo gadu norādot 2023. gadu un atbilstoši secīgi norādot turpmākos gadus, kā arī 2024. gada ailē “izmaiņas, salīdzinot ar vidēja termiņa budžeta ietvaru” iekļaut palielinājumu atbilstoši MK 26.09.2023. sēdē (protokols Nr. 47 43. § 2. punkts) atbalstītajam 2024. - 2026. gada starpnozaru prioritārajam pasākumam "Atlīdzība Iekšlietu ministrijas un Tieslietu ministrijas  institūcijās nodarbinātajiem, tai skaitā Probācijas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23.11.2023.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23.11.2023.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Atzinumi_23-TA-2697.docx</dc:title>
</cp:coreProperties>
</file>

<file path=docProps/custom.xml><?xml version="1.0" encoding="utf-8"?>
<Properties xmlns="http://schemas.openxmlformats.org/officeDocument/2006/custom-properties" xmlns:vt="http://schemas.openxmlformats.org/officeDocument/2006/docPropsVTypes"/>
</file>