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Komisijas lēmuma Nr. 2012/21/ES 4.panta f) apakšpunktā noteiktajam, lūdzam 23</w:t>
            </w:r>
            <w:r w:rsidR="00000000" w:rsidRPr="00000000" w:rsidDel="00000000">
              <w:rPr>
                <w:vertAlign w:val="superscript"/>
                <w:rtl w:val="0"/>
              </w:rPr>
              <w:t xml:space="preserve">2</w:t>
            </w:r>
            <w:r w:rsidR="00000000" w:rsidRPr="00000000" w:rsidDel="00000000">
              <w:rPr>
                <w:rtl w:val="0"/>
              </w:rPr>
              <w:t xml:space="preserve"> punktā minētos nosacījumus papildināt ar atsauci uz Eiropas Komisijas lēmumu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Šo noteikumu ietvaros piešķirto VTNP atbalstu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2023/2832 par Līguma par Eiropas Savienības darbību 107. un 108. panta piemērošanu de minimis atbalstam, ko piešķir uzņēmumiem, kuri sniedz pakalpojumus ar vispārēju tautsaimniecisku nozīmi 5.panta 2.punktā noteikto, lūdzam precizēt noteikumu 65</w:t>
            </w:r>
            <w:r w:rsidR="00000000" w:rsidRPr="00000000" w:rsidDel="00000000">
              <w:rPr>
                <w:vertAlign w:val="superscript"/>
                <w:rtl w:val="0"/>
              </w:rPr>
              <w:t xml:space="preserve">1</w:t>
            </w:r>
            <w:r w:rsidR="00000000" w:rsidRPr="00000000" w:rsidDel="00000000">
              <w:rPr>
                <w:rtl w:val="0"/>
              </w:rPr>
              <w:t xml:space="preserve"> punktu tā, lai skaidrs, ka VTNP atbalstu nevar kumulēt ar atbalstu, kas sniegts ar šo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par projektā plānotajām darbībām ir noslēgts būvniecības līgums, kurā noteikts, ka būvdarbi jāpabeidz līdz 2026.gada 30.jūnijam, tai skaitā izbūvētā vai pārbūvētā infrastruktūra ir nodota ekspluatācijā, ko apliecina pieņemšanas un nodošanas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viennozīmīgai uztverei lūdzam papildināt noteikumu projekta 18.2.apakšpunktu pēc vārda "darbībām" ar atrunu "kuras nav kvalificējamas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04.09.2025.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04.09.2025.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