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125. Budžeta izpildes pārskatā norāda informāciju par sākotnējo likumu/plānu, likumu/plānu ar izmaiņām un budžeta izpildi pārskata periodā.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Informāciju, kas jau ir pieejama e-pārskatos, lūdzam nodrošināt budžeta izpildes pārskatā.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kase budžeta izpildes pārskatā nodrošina informāciju par sākotnējo likumu/plānu, likumu/plānu ar izmaiņām un budžeta izpildi pārskata periodā.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Kazaka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130.4.1. ministrijas ietver informāciju par valsts budžeta likuma paskaidrojumos noteikto rezultatīvo rādītāju izpildi pārskata periodā;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Informāciju par rezultatīvajiem rādītājiem, kas sasniegti ar piešķirtajiem finanšu līdzekļiem pārskata periodam, ministrijas jau būs sniegušas Finanšu ministrijai līdz pārskata periodam sekojošā gada 25.februārim, izmantojot Valsts kases e-pakalpojumu portālu. Ņemot vērā, ka rezultatīvo rādītāju izpilde Valsts kases e-pakalpojumu portālā jau būs pieejama, lūdzam nepalielināt administratīvo slogu un nodrošināt nepieciešamās informācijas automātisku iekļaušanu attiecīgajā budžeta izpildes pārskatā, attiecīgi precizējot apakšpunkta redakciju.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Kazaka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7.4. Projekta izpildes ietekme uz pārvaldes funkcijām un institucionālo struktūru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7.4. apakšpunktā uzskaitītās ietekmes Nr. 7 skaidrojuma svītrot teikuma daļu </w:t>
            </w:r>
            <w:r w:rsidR="00000000" w:rsidRPr="00000000" w:rsidDel="00000000">
              <w:rPr>
                <w:i w:val="1"/>
                <w:rtl w:val="0"/>
              </w:rPr>
              <w:t xml:space="preserve">un darījumu bez atlīdzības. </w:t>
            </w:r>
            <w:r w:rsidR="00000000" w:rsidRPr="00000000" w:rsidDel="00000000">
              <w:rPr>
                <w:rtl w:val="0"/>
              </w:rPr>
              <w:t xml:space="preserve">Anotācijas 1.3.apakšpunktā Risinājuma apraksts [3.] skaidrots, ka </w:t>
            </w:r>
            <w:r w:rsidR="00000000" w:rsidRPr="00000000" w:rsidDel="00000000">
              <w:rPr>
                <w:i w:val="1"/>
                <w:rtl w:val="0"/>
              </w:rPr>
              <w:t xml:space="preserve">darījumu bez atlīdzības salīdzināšana gada pārskata slēguma ietvaros tiks veikta.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Gada pārskata slēguma ietvaros, lai optimizētu un samazinātu administratīvo slogu inventarizācijas veikšanā, nebūs jāveic naudas darījumu salīdzināšana.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Kazaka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