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detalizētu kārtību, kādā nodokļa maksātājam būs jāveic nepārstrādātās un pārstrādātās plastmasas uzskaite. Tāpat jānosaka kārtība,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detalizētu kārtību, kādā nodokļa maksātājam būs jāveic nepārstrādātās un pārstrādātās plastmasas uzskaite. Tāpat jānosaka kārtība,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 (LPUF)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pielāgotos nebijušam  izejvielu un energoresursu cenu kāpumam. Izvērtējot, Likumprojekta ietekmi uz nozari, jāsecina, ka tā piemērošana no 2024. gada ir pāragra.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iekļaut Likumprojekta pārejas noteikumos tiesību normu, kas paredz  pirmo maksājumu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 (LPUF)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