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pasūtītājam ne visos gadījumos ir atbilstoša kompetence, vismaz attiecībā uz publiskiem pasūtījumiem nepieciešams apsvērt ekspertīzes ietvaros vērtēt izstrādātā risinājuma atbilstību pasūtītāja projektēšanas uzdevumā definētajam. Situācijas ir dažādas, bet lielākoties III grupas būvēs liela apmēra projektos neatbilstības bieži atklājas tikai brīdī, kad iecere jau ir būvniecības stadijā un izmaiņas vairs nav iespējams veikt vai arī to veikšanas izmaksas ir ievērojami lielākas kā situācijā, ja tās būtu atklātas pirms būvniecības stadijas.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likumā (19.2 (7)) ir noteikta būvekspertīzes veicēja atbildība, bet joprojām nav skaidra ekspertīzes  vadītāja atbildība, ja līgums par būvekspertīzi tiek slēgts ar juridisku personu. Proti, būvekspertīzes vadītāja atzinums  ir tikai atsevišķu būvekspertīzes daļu apkopojums vai arī apliecinājums, ka būvprojekts tiešām atbilsts visām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izveidojies likuma robs attiecībā uz būvekspertīzes vadītāja atbildību situācijām, kurās būvekspertīzes līgumu slēdz juridiska persona. Proti, BL (19.2 (7)) paredzēta atbildība personai, kas noslēgusi būvekspertīzes līgumu. Ja tā ir fiziska persona, kurai ir attiecīgs sertifikāts, ir skaidrs atbildības sadalījums. Gadījumos, kad līgumu slēdz jur. pers., kas nodarbina vai uz cita līguma pamata piesaista būvekspertīzes vadītāju/us, BL vairs neregulē būvekspertīzes vadītāja atbildību. Savukārt VBN šādos gadījumos būvekspertīzes vadītājam ir uzlikts par pienākumu tikai apkopot atsevišķo būvprojekta daļu būvekspertīzes rezultātus būvprojekta ekspertīzes atzinumā. (VBN 51. punkts). Līdz ar to būvekspertīzes vadītāja atbildība aprobežojas ar uzraudzības veikšanu, proti, pārbaudīt vai būvprojekta daļu būvekspertīzes veikuši attiecīgie būvspeciālisti un, gadījumos, kad atzinumi ir pozitīvi, izsniegt pozitīvu gala atzinumu. Visa BL noteiktā būvekspertīzes veicēja atbildība paliek juridiskās personas pārstāvim, kam iespējams vispār nav kompetence būvekspertīzes veikšanā, bet kurš kā krietns un rūpīgs saimnieks būvekspertīzes veikšanai ir piesaistījis sertificētus speciālistus, tai skaitā, būvekspertīzes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normatīvajos aktos nepieciešams precizēt būvekspertīzes vadītāja atbildību gadījumos, kad būvekspertīzes līgumu slēdz juridiska persona, pēc būtības to pielīdzinot esošajam BL regulējumam, kad būvekspertīzes līgumu slēdz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būvnoteikumi šobrīd līdz galam nepaskaidro vai sniedzot būvekspertīzes atzinumu runa ir par būvprojekta (BP) atsevišķām daļām, kas izvērtētas/apskatītas vai arī par visu BP kopumā, t.sk. daļām, ko ekspertīzē nemaz obligātajā programmā nevērtē. Tas ļoti aktuāli ir, piemēram, gadījumos, kad mehānisko stiprību var ietekmēt arī Darba organizācijas plānā ietvertais.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11.07.2023. 20.16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11.07.2023. 20.16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Atzinumi_23-TA-461.docx</dc:title>
</cp:coreProperties>
</file>

<file path=docProps/custom.xml><?xml version="1.0" encoding="utf-8"?>
<Properties xmlns="http://schemas.openxmlformats.org/officeDocument/2006/custom-properties" xmlns:vt="http://schemas.openxmlformats.org/officeDocument/2006/docPropsVTypes"/>
</file>